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C-6387/2012 vom 20. März 2014</w:t>
      </w:r>
    </w:p>
    <w:p>
      <w:r>
        <w:t>Bundesverwaltungsgericht, 2014-03-20, FR</w:t>
      </w:r>
    </w:p>
    <w:p>
      <w:r>
        <w:rPr>
          <w:b/>
        </w:rPr>
        <w:t xml:space="preserve">Quelle: </w:t>
      </w:r>
      <w:r>
        <w:t>https://mcp.opencaselaw.ch/entscheid/bvger_C-6387_2012</w:t>
      </w:r>
    </w:p>
    <w:p>
      <w:r>
        <w:t>FR: TAF C-6387/2012 du 20 mars 2014</w:t>
      </w:r>
    </w:p>
    <w:p>
      <w:r>
        <w:t>IT: TAF C-6387/2012 del 20 marzo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(ainsi qu'à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(cf. ATAF 2012/21 consid. 5.1).</w:t>
      </w:r>
    </w:p>
    <w:p>
      <w:r>
        <w:rPr>
          <w:b/>
        </w:rPr>
        <w:t>E. 3.1</w:t>
      </w:r>
    </w:p>
    <w:p>
      <w:r>
        <w:t>L'étranger n'a en principe aucun droit à la délivrance d'une autorisa­tion de séjour, à moins qu'il ne puisse invoquer en sa faveur une disposi­tion particulière du droit fédéral ou d'un traité lui conférant un tel droit (cf. notamment ATF 135 II 1 consid. 1.1 et jurispr. cit.).</w:t>
      </w:r>
    </w:p>
    <w:p>
      <w:r>
        <w:rPr>
          <w:b/>
        </w:rPr>
        <w:t>E. 3.2</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Caroni/Gächter/Thurnherr [éd.], Bundesgesetz über die Ausländerinnen und Ausländer [AuG], Berne 2010, ad art. 42 n. 55; Marc Spescha in: Spescha, Thür, Zünd, Bolzli [éd.], Migrationsrecht, 3èmeédition, Zurich 2012, ad art. 42 n. 9).</w:t>
      </w:r>
    </w:p>
    <w:p>
      <w:r>
        <w:rPr>
          <w:b/>
        </w:rPr>
        <w:t>E. 3.3</w:t>
      </w:r>
    </w:p>
    <w:p>
      <w:r>
        <w:t>En l'espèce, à l'examen du dossier, il appert que les époux Bytyçi ont contracté mariage le 22 septembre 2006 à Lausanne, qu'ils ont divorcé le 5 septembre 2013, mais qu'ils ont cessé de faire ménage commun avant le terme de la période de cinq ans prévue à l'art. 42 al. 3 LEtr. En effet, la communauté conjugale n'a duré que jusqu'à janvier 2010, date correspondant au dépôt de la demande de séparation, voire que jusqu'à début mars 2010 au plus tard, période à partir de laquelle les époux ne vivaient effectivement plus ensemble selon les déclarations de l'intéressé (cf. p.-v. d'audition de la police de la ville de Lausanne du 26 mars 2010, p. 2). Ainsi, la séparation définitive du couple est intervenue trois ans et quatre mois (voire trois ans et six mois au plus) après la conclusion de leur union conjugale. Par conséquent, le recourant ne peut pas se prévaloir de l'art. 42 al. 3 LEtr, en relation avec l'art. 49 LEtr.</w:t>
      </w:r>
    </w:p>
    <w:p>
      <w:r>
        <w:rPr>
          <w:b/>
        </w:rPr>
        <w:t>E. 3.4</w:t>
      </w:r>
    </w:p>
    <w:p>
      <w:r>
        <w:t>Compte tenu de ce qui précède, A._______ ne peut pas non plus exciper d'un droit à une autorisation de séjour fondée sur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avec la personne ayant un droit de présence en Suisse. Or, les époux A._______ ont divorcé et ne font plus ménage commun (cf. notamment ATF 135 I 143 consid. 1.3.1 et 131 II 265 consid. 5).</w:t>
      </w:r>
    </w:p>
    <w:p>
      <w:r>
        <w:rPr>
          <w:b/>
        </w:rPr>
        <w:t>E. 4</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En instituant l'art. 50 al. 1 LEtr, le législateur a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(cf. notamment ATF 137 II précité, consid. 4.1, et 137 II 345 consid. 3.2.1). Les deux conditions posées par l'art. 50 al. 1 let. a LEtr sont cumulatives selon la jurisprudence (cf. notamment ATF 136 II 113 consid. 3.3.3 et arrêt du Tribunal fédéral 2C_253/2012 du 11 janvier 2013 consid. 3.1).</w:t>
      </w:r>
    </w:p>
    <w:p>
      <w:r>
        <w:rPr>
          <w:b/>
        </w:rPr>
        <w:t>E. 4.1.1</w:t>
      </w:r>
    </w:p>
    <w:p>
      <w:r>
        <w:t>L'existence d'une véritable union conjugale au sens de l'art. 50 al. 1 let. a LEtr suppose que la relation entre époux soit effectivement vécue et que ces derniers aient la volonté de la maintenir (cf. notamment ATF 138 II 229 consid. 2 et 137 II 345 consid. 3.1.2). Pour cela il faut se baser essentiellement sur la durée pendant laquelle le couple a fait ménage commun en Suisse (cf. notamment ATF 138 II précité, ibid., et 136 II précité consid. 3.3.5).</w:t>
      </w:r>
    </w:p>
    <w:p>
      <w:r>
        <w:rPr>
          <w:b/>
        </w:rPr>
        <w:t>E. 4.1.2</w:t>
      </w:r>
    </w:p>
    <w:p>
      <w:r>
        <w:t>En l'occurrence, il n'est point contesté que le recourant remplit les exigences de l'art. 50 al. 1 let. a LEtr quant au délai de trois ans, étant précisé par ailleurs que ce délai se calcule en fonction de la durée pendant laquelle le couple fait ménage commun en Suisse (cf. ATF 136 II précité, ibid.). Dès lors, il convient d'examiner si l'intégration de A._______ peut être considérée comme réussie au sens de l'art. 50 al. 1 let. a LEtr.</w:t>
      </w:r>
    </w:p>
    <w:p>
      <w:r>
        <w:rPr>
          <w:b/>
        </w:rPr>
        <w:t>E. 4.2.1</w:t>
      </w:r>
    </w:p>
    <w:p>
      <w:r>
        <w:t>Le principe d'intégration inscrit d'autre part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Tribunal fédéral 2C_930/2012 du 10 janvier 2013, consid. 3.1, 2C_253/2012 précité, consid. 3.3.1, 2C_276/2012 précité, ibid., et 2C_704/2012 du 23 juillet 2012 consid. 4.3]). Constituent, d'après le chiffre 2.2 de la directive n° IV (intégration) de l'ODM, dans sa version du 1er janvier 2008 (état au 27 mars 2013), des indicateurs de la volonté de participer à la vie économique, notamment un contrat de travail non résilié, la preuve des efforts fournis pour trouver un emploi, la volonté de participer à des mesures de perfectionnement (cf. Directives et commentaires de l'ODM, en ligne sur son site internet: www.bfm.admin.ch &gt; Documentation &gt; Bases légales &gt; Directives et circulaires &gt; IV Intégration; site consulté en février 2014 [pour ce qui est du renvoi à cette directive, cf. notamment les arrêts du Tribunal fédéral 2C_300/2013 du 21 juin 2013 consid. 4.2 et 2C_286/2013 précité, consid. 2.3]).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ce dernier arrêt, les critères de l'intégration ont été retenus nonobstant une période sans emploi de onze mois en rapport avec une activité lucrative continue de trois ans]). Selon le chiffre 2.2 de la directive n° IV (intégration) de l'ODM, l'ordre public au sens de l'art. 4 let. a OIE se subdivise en deux composantes: l'ordre juridique objectif et les représentations de l'ordre. Constitue un indicateur de l'ordre juridique objectif la réputation irréprochable selon l'extrait du casier judiciaire. Les éventuelles condamnations sont prises en considération différemment selon le type de délit, la gravité de la faute et la peine prononcée. Font notamment partie des représentations de l'ordre le respect des décisions des autorités et l'observation des obligations de droit public ou des engagements privés. La directive mentionne comme exemples l'absence de poursuites ou de dette fiscale et le paiement ponctuel des pensions alimentaires (cf. notamment les arrêts du Tribunal fédéral 2C_300/2013 précité, ibid., et 2C_286/2013 précité, ibid., qui renvoient à ladite directive; voir également l'arrêt du Tribunal fédéral 2C_983/2011 précité, consid. 3.3.2).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Tribunal fédéral 2C_286/2013 précité, consid. 2.4, 2C_930/2012 précité, ibid., et 2C_276/2012 précité, consid. 2.2.3).</w:t>
      </w:r>
    </w:p>
    <w:p>
      <w:r>
        <w:rPr>
          <w:b/>
        </w:rPr>
        <w:t>E. 4.2.2</w:t>
      </w:r>
    </w:p>
    <w:p>
      <w:r>
        <w:t>En l'espèce, sur le plan professionnel, il ressort des pièces du dossier que A._______ travaille, depuis le 1er mai 2007, comme serrurier dans une entreprise de montage sise à Lausanne, sur la base d'un contrat de durée indéterminée et à l'entière satisfaction de son employeur (cf. certificat de travail du 4 décembre 2012; pièce produite à l'appui du recours). Selon son employeur, l'intéressé est une personne "qui mérite sa place dans notre société", tant sur le plan professionnel que personnel (cf. pièce produite le 5 avril 2013). De plus, le recourant exprime le souhait de pouvoir entreprendre une formation professionnelle en Suisse, en ajoutant cependant qu'il n'a pas pu la débuter, faute de disposer d'une autorisation de séjour valable dans le canton de Vaud (cf. courrier du 17 septembre 2013). Force est donc d'admettre qu'il est professionnellement intégré et qu'il dispose d'un emploi stable. A cet égard, il importe peu que l'indépendance financière résulte d'un emploi peu qualifié.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(cf. consid. 4.2.1 supra et jurispr. cit.). L'ODM relève que le recourant a fait l'objet durant sa présence dans le canton de Vaud de poursuites pour un montant total supérieur à 21'000 francs (cf. décision querellée, p. 3, avec référence à l'extrait des registres de l'Office des poursuites du district de Lausanne) et que, pour cette raison, il n'y a pas lieu de considérer son intégration comme étant réussie (cf. décision entreprise, p. 5). De son côté, le recourant souligne avoir montré sa réelle volonté d'assainir cette situation et d'éponger ses dettes (cf. récépissés postaux produits le 5 avril 2013). Dans son courrier du 17 septembre 2013, il indique avoir pris des dispositions pour régler la situation au niveau des arriérés d'impôts. Le Tribunal observe que l'extrait des registres de l'office des poursuites du district de Lausanne délivré le 17 septembre 2013 montre que le recourant a fait l'objet de poursuites pour un montant total 17'038 fr. 15. La plus importante de celles-ci s'élevait à 15'149 fr. 80, dont il demeurait redevable envers un institut bancaire zurichois. Sur ce point, des mesures d'instruction supplémentaires ont été requises aux fins déterminer la volonté de A._______ d'assainir sa situation financière et d'éponger toutes ses dettes. Le prénommé a fourni les renseignements sollicités par écritures datés des 21 janvier et 10 février 2014, en produisant diverses pièces susceptibles de démontrer que ses créanciers ont été entièrement désintéressés dans l'intervalle (cf. notamment courrier dudit institut du 7 février 2014 et extrait des registres de l'office des poursuites du district de Lausanne délivré le 31 janvier 2014). Compte tenu des efforts ainsi déployés par l'intéressé en vue d'assainir sa situation financière, le Tribunal estime que les dettes que celui-ci avait accumulées par le passé ne sauraient plus, dans ces conditions, plaider en défaveur d'une intégration réussie au sens de l'art. 50 al. 1 let. a LEtr (cf., dans ce sens, arrêt du Tribunal fédéral 2C_983/2011 précité consid. 3.3.2, a contrario, et arrêt du Tribunal administratif fédéral C-6193/2011 du 19 septembre 2013, consid. 5.2.2). Pour ce qui concerne son intégration sociale, il est vrai que le recourant n'a pas démontré avoir fait partie d'associations ou développé une quelconque vie associative. Il s'impose cependant de relever à ce sujet que l'intéressé ne vit pas de manière isolée et qu'il s'est forcément créé un cercle de connaissances, ne serait-ce qu'à travers ses collègues de travail et la clientèle de l'entreprise dans laquelle il est occupé (cf. certificat de travail du 4 décembre 2012). De plus, il convient de tenir compte du fait que A._______ a fait ménage commun avec son ex-épouse pendant plus de trois années et que les intéressés, du moins selon leurs dires, sont restés "en bons termes", malgré leur séparation (courrier du 5 avril 2013, p. 1, accompagné d'un témoignage écrit daté du 4 avril 2013). L'on peut donc retenir que sa vie de couple a assurément amené le recourant à nouer des relations sociales et amicales au travers des rencontres organisées par son ex-épouse avec des personnes de son entourage (cf., sur ce point, l'arrêt du Tribunal fédéral 2C_427/2011 précité, ibid.). On ne saurait dès lors considérer comme insuffisante l'intégration sociale en Suisse du recourant, qui, dans les circonstances décrites ci-avant, a nécessairement acquis une certaine maîtrise de la langue française durant son séjour en ce pays (ce que laissent d'ailleurs apparaître le test de langue passé le 23 janvier 2012 [niveau global obtenu: A2] et le procès-verbal établi par la police lausannoise le 26 mars 2010). Au demeurant,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les arrêts du Tribunal fédéral 2C_749/2011 précité, ibid., 2C_426/2011 du 30 novembre 2011 consid. 3.5 et 2C_427/2011 précité, ibid.). S'agissant enfin de son comportement, A._______ a fourni le 17 septembre 2013 un extrait de son casier judiciaire suisse (délivré le 9 septembre 2013) qui démontre qu'il n'a pas contrevenu à l'ordre public durant son séjour sur le territoire helvétique. Dans ce contexte, le fait que l'intéressé ait séjourné illégalement en Suisse durant une certaine période et qu'il ait tenu des déclarations contradictoires au sujet de la continuité ou non de sa présence en Suisse depuis 1998 (cf. let. A supra et duplique de l'ODM du 24 avril 2013) ne saurait contrebalancer les éléments favorables mis en exergue ci-avant, sous peine de violer le principe de la proportionnalité.</w:t>
      </w:r>
    </w:p>
    <w:p>
      <w:r>
        <w:rPr>
          <w:b/>
        </w:rPr>
        <w:t>E. 5</w:t>
      </w:r>
    </w:p>
    <w:p>
      <w:r>
        <w:t>Au vu de ce qui précède et en référence à la jurisprudence développée par le Tribunal fédéral en la matière telle que rappelée ci-dessus, force est de reconnaître en définitive que ni la nature de l'emploi exercé par A._______, ni le fait d'avoir été l'objet de poursuites dans le canton de Vaud, ni l'absence d'implication étroite dans la vie associative ne suffisent pour nier la réussite de son intégration en Suisse. Il appert en effet que l'intéressé s'est toujours efforcé de disposer d'un emploi en vue d'assumer son indépendance financière, qu'il n'a jamais émargé à l'assistance publique, qu'il a épongé entièrement ses dettes et ainsi réussi à stabiliser sa situation financière, qu'il dispose de connaissances suffisantes de la langue française, qu'il fait preuve de sociabilité et qu'il présente un casier judiciaire vierge. Partant, du moment que le recourant satisfait aux deux conditions d'application de l'art. 50 al. 1 let. a LEtr, le recours doit être admis, la décision attaquée du 12 novembre 2012 annulée et la prolongation par les autorités cantonales vaudoises de son autorisation de séjour approuvée, étant précisé qu'il est superflu, dans ces circonstances, d'examiner si les conditions posées par les art. 50 al. 1 let. b et 50 al. 2 LEtr sont remplies dans le cas d'espèce (cf. notamment arrêt du Tribunal fédéral 2C_427/2011 précité, consid. 5.4). Cela étant, au moment où interviendra le prochain renouvellement des conditions de séjour en Suisse, il appartiendra à l'autorité cantonale compétente en matière de droit des étrangers d'examiner tout particulièrement la situation financière de l'intéressé. 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pas revendiquer le remboursement de frais de représentation (cf. art. 64 al. 1 PA en relation avec les art. 8 à 11 du règlement du 21 février 2008 concernant les frais, dépens et indemnités fixés par le Tribunal administratif fédéral [FITAF, RS 173.320.2]). Il n'a en outre pas démontré que la présente procédure lui a causé des frais relativement élevés au sens de l'art. 64 al. 1 PA, en relation avec l'art. 7 al. 4 FITAF.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