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C-6385/2008 vom 30. September 2009</w:t>
      </w:r>
    </w:p>
    <w:p>
      <w:r>
        <w:t>Bundesverwaltungsgericht, 2009-09-30, DE</w:t>
      </w:r>
    </w:p>
    <w:p>
      <w:r>
        <w:rPr>
          <w:b/>
        </w:rPr>
        <w:t xml:space="preserve">Quelle: </w:t>
      </w:r>
      <w:r>
        <w:t>https://mcp.opencaselaw.ch/entscheid/bvger_C-6385_2008</w:t>
      </w:r>
    </w:p>
    <w:p>
      <w:r>
        <w:t>FR: TAF C-6385/2008 du 30 septembre 2009</w:t>
      </w:r>
    </w:p>
    <w:p>
      <w:r>
        <w:t>IT: TAF C-6385/2008 del 30 settembre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Besuchervisums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legitimiert.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Ausländerinnen und Ausländer benötigen zur Einreise in die Schweiz bzw. den Schengenraum für einen Aufenthalt von höchstens drei Monaten gültige Reisedokumente, die zum Grenzübertritt berechtigen, und ein Visum, sofern dieses erforderlich ist (vgl. Art. 5 Abs. 1 Bst. a des Bundesgesetzes vom 16. Dezember 2005 über die Ausländerinnen und Ausländer [AuG, SR 142.20],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4.2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Urteile des Bundesverwaltungsgerichts C-1509/2008 vom 13. Februar 2009 E. 5.2 und E. 5.3 sowie C-3013/2008 vom 14. Februar 2009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5</w:t>
      </w:r>
    </w:p>
    <w:p>
      <w:r>
        <w:t>Gemäss Anhang I zur Verordnung (EG) Nr. 539/2001 des Rates vom 15. März 2001 (ABl. L 81 vom 21.03.2001, S. 1-7) unterliegt der Gesuchsteller der Visumspflicht.</w:t>
      </w:r>
    </w:p>
    <w:p>
      <w:r>
        <w:rPr>
          <w:b/>
        </w:rPr>
        <w:t>E. 6</w:t>
      </w:r>
    </w:p>
    <w:p>
      <w:r>
        <w:t>Verfahren, die am 12. Dezember 2008 (Datum der Inkraftsetzung des Abkommens vom 26. Oktober 2004 zwischen der Schweizerischen Eidgenossenschaft, der Europäischen Union und der Europäischen Gemeinschaft über die Assoziierung dieses Staates bei der Umsetzung, Anwendung und Entwicklung des Schengen-Besitzstands [SAA, SR 0.360.268.1]) hängig sind, werden nach neuem Recht fortgeführt (Art. 57 VEV).</w:t>
      </w:r>
    </w:p>
    <w:p>
      <w:r>
        <w:rPr>
          <w:b/>
        </w:rPr>
        <w:t>E. 7.1</w:t>
      </w:r>
    </w:p>
    <w:p>
      <w:r>
        <w:t>Zur Prüfung des Kriteriums der gesicherten Wiederausreise muss ein zukünftiges Verhalten beurteilt werden. Dazu lassen sich in der Regel keine gesicherten Feststellungen, sondern lediglich Voraussagen treffen. Dabei sind sämtliche Umstände des konkreten Einzelfalles zu würdigen.</w:t>
      </w:r>
    </w:p>
    <w:p>
      <w:r>
        <w:rPr>
          <w:b/>
        </w:rPr>
        <w:t>E. 7.2</w:t>
      </w:r>
    </w:p>
    <w:p>
      <w:r>
        <w:t>Anhaltspunkte zur Beurteilung der fristgerechten Wiederausreise können sich aus der allgemeinen Lage im Herkunftsland der Besucherin oder des Besuchers ergeben.</w:t>
      </w:r>
    </w:p>
    <w:p>
      <w:r>
        <w:rPr>
          <w:b/>
        </w:rPr>
        <w:t>E. 7.3</w:t>
      </w:r>
    </w:p>
    <w:p>
      <w:r>
        <w:t>Der Gesuchsteller lebt im inzwischen unabhängigen und von der Schweiz als Staat anerkannten Kosovo. Die Sicherheitslage in dieser Region konnte zwar im Verlaufe der letzten Jahre weitgehend stabilisiert werden und der Wiederaufbau von Administration und Infrastruktur ist unter Beteiligung internationaler Organisationen und Staatengemeinschaften in Gang gekommen. Aus wirtschaftlicher Sicht ist es aber trotz grosser internationaler Unterstützung bisher nicht gelungen, eine Wachstumsdynamik im Kosovo einzuleiten; es herrscht wirtschaftliche Stagnation und die Arbeitslosigkeit bleibt hartnäckig hoch. So sind mehr als die Hälfte der Erwerbsfähigen ohne oder zumindest ohne regelmässiges Einkommen. Der Armutsanteil der Bevölkerung im Kosovo lag im Jahr 2008 bei 45%; 15% der Staatsbürger leben sogar in extremer Armut (vgl. &lt;http://www.worldbank.org&gt;, Countries &gt; Europe and Central Asia &gt; Kosovo &gt; Overview &gt; Country Brief - April 2009, besucht im September 2009). Der Zuwanderungsdruck aus dieser Region ist dementsprechend hoch, was sich auch in der schweizerischen Asylstatistik widerspiegelt. So stammten im Jahr 2008 7.8% der Asylsuchenden aus dem Gebiet von Serbien und dem Kosovo. Diese Region stand damit in der Statistik der Asylgesuche nach Nationen an vierter Stelle (vgl. kommentierte BFM-Asylstatistik 2008, S. 9). Seit dem 1. April 2009 gelten Serbien und Kosovo zwar als verfolgungssichere Staaten (Safe Countries), dies gemäss Beschluss des Bundesrates vom 6. März 2009. Es wird sich aber zeigen müssen, ob und falls ja, welchen Einfluss dies auf künftige Asylbewerberzahlen haben wird. Immerhin stellten im 2. Quartal 2009 noch 142 Personen aus dem Kosovo hier ein Asylgesuch. Kosovo liegt damit in der Quartalsstatistik der Asylgesuche nach Nationen an sechster Stelle (vgl. kommentierte Asylstatistik des BFM 2. Quartal 2009, S. 2).</w:t>
      </w:r>
    </w:p>
    <w:p>
      <w:r>
        <w:rPr>
          <w:b/>
        </w:rPr>
        <w:t>E. 7.4</w:t>
      </w:r>
    </w:p>
    <w:p>
      <w:r>
        <w:t>In Anbetracht der vorerwähnten Verhältnisse im Kosovo und unter Berücksichtigung der Tatsache, dass die Bereitschaft zur Emigration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in der Herkunftsregion auf eine nicht hinreichend gesicherte Wiederausreise zu schliessen. Die vorerwähnten Verhältnisse entbinden die Vorinstanz nicht von einer einzelfallbezogenen Beurteilung. Namentlich können berufliche, gesellschaftliche oder familiäre Verpflichtungen die Prognose einer anstandslosen Wiederausreise begünstigen.</w:t>
      </w:r>
    </w:p>
    <w:p>
      <w:r>
        <w:rPr>
          <w:b/>
        </w:rPr>
        <w:t>E. 8.1</w:t>
      </w:r>
    </w:p>
    <w:p>
      <w:r>
        <w:t>Beim Gesuchsteller handelt es sich um einen 35-jährigen Mann, der zusammen mit seiner Ehefrau und zwei Kindern im Kosovo lebt. Wenn er nun die Heimat ohne seine Ehefrau und die Kinder für einen Besuchsaufenthalt in der Schweiz verlassen will, obliegen dem Gesuchsteller durchaus familiäre Verpflichtungen im Kosovo. Andererseits war er bereits zweimal als Asylbewerber in der Schweiz (1994 und 1998). Auch wenn er damals die Schweiz nach Abschluss beider Verfahren freiwillig wieder verlassen hat, ist nicht auszuschliessen, dass er nach erneuter Einreise versucht sein könnte, hier zu bleiben, zumal mehrere Brüder in der Schweiz leben. Die Erfahrung zeigt auch, dass selbst zurückbleibende Familienangehörige gerade in Situationen angespannter wirtschaftlicher Verhältnisse nicht verlässlich davon abhalten, den Entschluss für eine Emigration zu fällen. Im Gegenteil, der Entscheid kann dort von der Hoffnung getragen sein, die Angehörigen aus dem Ausland später nachfolgen zu lassen.</w:t>
      </w:r>
    </w:p>
    <w:p>
      <w:r>
        <w:rPr>
          <w:b/>
        </w:rPr>
        <w:t>E. 8.2</w:t>
      </w:r>
    </w:p>
    <w:p>
      <w:r>
        <w:t>In Bezug auf die wirtschaftlichen Verhältnisse ergibt sich aus den Akten, dass der Gesuchsteller als Bauer (ohne Arbeitsvertrag) tätig ist, wobei weder Angaben über die Höhe seines Einkommens noch über die Grösse des bewirtschafteten landwirtschaftlichen Betriebes gemacht werden. Nicht zuletzt aufgrund des Umstandes, dass der Beschwerdeführer sich bereit erklärte, für sämtliche Kosten des Besuchsaufenthaltes aufzukommen, kann aber nicht davon ausgegangen werden, dass der Gesuchsteller sich in günstigen wirtschaftlichen Verhältnissen befindet. Von einer besonderen beruflichen Verpflichtung, welche ihn verlässlich von einer Emigration abhalten würde, kann auf jeden Fall nicht gesprochen werden.</w:t>
      </w:r>
    </w:p>
    <w:p>
      <w:r>
        <w:rPr>
          <w:b/>
        </w:rPr>
        <w:t>E. 8.3</w:t>
      </w:r>
    </w:p>
    <w:p>
      <w:r>
        <w:t>Die Vorinstanz durfte vor dem aufgezeigten allgemeinen und persönlichen Hintergrund demnach davon ausgehen, dass keine hinreichende Gewähr für eine fristgerechte und anstandslose Wiederausreise des Gesuchstellers nach einem Besuchsaufenthalt besteht. An dieser Risikoeinschätzung vermag auch die in der Rechtsmitteleingabe angebotene Garantieleistung des Beschwerdeführers nichts zu ändern. Bei der Abwägung des Risikos einer nicht fristgerechten Wiederausreise sind nämlich nicht so sehr die Einstellung und Absichten des Gastgebers, sondern in erster Linie das mögliche Verhalten des Gastes selbst von Bedeutung. Nur Letzterer ist in der Lage, hinreichend Gewähr für eine fristgerechte und anstandslose Wiederausreise zu bieten. Der Gastgeber kann - wie dies in casu mit der Unterzeichnung der Verpflichtungserklärung am 11. August 2008 geschehen ist - zwar für gewisse finanzielle Risiken (Lebensunterhaltskosten während des Besuchsaufenthaltes, allfällige Kosten für Unfall und Krankheit sowie Rückreisekosten) Garantie leisten. Für ein bestimmtes Verhalten des Gastes kann er aber - mangels rechtlicher und faktischer Durchsetzbarkeit - nicht garantieren, auch nicht mit der Hinterlegung einer Geldsumme (Kaution bzw. Depotzahlung) für den Fall, dass der Gast die Schweiz nach Ablauf des Besuchsaufenthaltes nicht wieder verlassen sollte (anstelle vieler vgl. Urteile des Bundesverwaltungsgerichts C-7005/2007 vom 25. Juni 2009 E. 9 und C-2405/2008 vom 18. März 2009 E. 10).</w:t>
      </w:r>
    </w:p>
    <w:p>
      <w:r>
        <w:rPr>
          <w:b/>
        </w:rPr>
        <w:t>E. 9</w:t>
      </w:r>
    </w:p>
    <w:p>
      <w:r>
        <w:t>Aus diesen Darlegungen folgt, dass die angefochtene Verfügung rechtmässig ist (Art. 49 VwVG). Die Beschwerde ist daher abzuweisen.</w:t>
      </w:r>
    </w:p>
    <w:p>
      <w:r>
        <w:rPr>
          <w:b/>
        </w:rPr>
        <w:t>E. 10</w:t>
      </w:r>
    </w:p>
    <w:p>
      <w:r>
        <w:t>Dem Ausgang des Verfahrens entsprechend wird der unterliegende Beschwerdeführer kostenpflichtig (Art. 63 Abs. 1 VwVG). Die Verfahrenskosten sind auf Fr. 600.- festzusetzen (Art. 1, 2 und 3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