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C-6384/2010 vom 27. Mai 2011</w:t>
      </w:r>
    </w:p>
    <w:p>
      <w:r>
        <w:t>Bundesverwaltungsgericht, 2011-05-27, FR</w:t>
      </w:r>
    </w:p>
    <w:p>
      <w:r>
        <w:rPr>
          <w:b/>
        </w:rPr>
        <w:t xml:space="preserve">Quelle: </w:t>
      </w:r>
      <w:r>
        <w:t>https://mcp.opencaselaw.ch/entscheid/bvger_C-6384_2010</w:t>
      </w:r>
    </w:p>
    <w:p>
      <w:r>
        <w:t>FR: TAF C-6384/2010 du 27 mai 2011</w:t>
      </w:r>
    </w:p>
    <w:p>
      <w:r>
        <w:t>IT: TAF C-6384/2010 del 27 maggio 2011</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L'objet du litige selon la décision attaquée du 12 juillet 2010 est le bien-fondé suite à la révision du droit à la rente initiée en 2009 de la suppression avec effet au 1er septembre 2010 de la rente d'invalidité perçue par l'intéressé par décision initiale du 23 décembre 2008 au motif d'une amélioration de son état de santé.</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suisses et de l'Union européenne qui présentent un degré d'invalidité de 40% au moins, ont droit à un quart de rente en application de l'art. 28 al. 2 LAI à partir du 1er juin 2002 s'ils ont leur domicile et leur résidence habituelle dans un Etat membre de l'UE (ATF 130 V 253 consid. 2.3).</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6.2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6.3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6.4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6.5</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ATF 125 V 369 consid. 2 et ATF 112 V 372 consid. 2). En l'espèce, l'octroi de la rente entière par décision du 23 janvier 2008 de l'OAIE est la base de comparaison avec la décision de suppression du 12 juillet 2010.</w:t>
      </w:r>
    </w:p>
    <w:p>
      <w:r>
        <w:rPr>
          <w:b/>
        </w:rPr>
        <w:t>E. 7.1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w:t>
      </w:r>
    </w:p>
    <w:p>
      <w:r>
        <w:rPr>
          <w:b/>
        </w:rPr>
        <w:t>E. 7.2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7.3</w:t>
      </w:r>
    </w:p>
    <w:p>
      <w:r>
        <w:t>Au vu de la description que fait l'art. 4 al. 1 LAI de l'invalidité comme étant une diminution de la capacité de gain résultant d'une atteinte à la santé provenant d'une infirmité congénitale, d'une maladie ou d'un accident, l'alcoolémie en soi - comme la toxicomanie -, c'est-à-dire le simple diagnostic médical d'alcoolémie, ne saurait fonder une invalidité au sens de la loi. Mis à part le fait que les notions d'alcoolémie comme de toxicomanie et de dépendance aux drogues ne sont pas utilisées de manière uniforme dans la médecine et qu'il manque une définition admise de manière générale, le diagnostic d'alcoolémie, de toxicomanie ou de dépendance à la drogue ne permet pas à lui seul de conclure que la personne assurée ne pourrait plus s'abstenir de ce qui est l'objet de son addiction; de même, la dépendance à l'alcool ou à une autre substance est tout aussi peu liée de manière automatique à une diminution de la capacité de travail ou de gain. Dans ces conditions, l'alcoolémie est constitutive d'invalidité seulement si les facteurs mentionnés à l'art. 4 al. 1 LAI sont réalisés et représente simplement une concrétisation de la notion d'invalidité. En d'autres termes, une invalidité au sens de la loi ne peut être admise que si l'alcoolémie a provoqué une maladie ou un accident ou qu'elle a entraîné une atteinte à la santé physique ou mentale ou encore lorsqu'elle est elle-même la conséquence d'une atteinte à la santé physique ou mentale, ayant valeur de maladie (cf. VSI 2002 p. 30 consid. 2, 2001 p. 223 consid. 4b avec les références citées; ATF 124 V 265 consid. 3c). Pour que soit admise une invalidité en raison d'une addiction,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 du Tribunal fédéral 9C_960/2009 du 24 février 2010 consid. 2.2 et, sur l'ensemble de la question, ég. arrêt I 169/06 du 8 août 2006 consid. 2.2 et les arrêts cités; arrêt 9C_395/2007 du 15 avril 2008 consid. 2.2).</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9.1</w:t>
      </w:r>
    </w:p>
    <w:p>
      <w:r>
        <w:t>En l'espèce, l'intéressé a été mis au bénéfice d'une rente entière d'invalidité dès le 16 janvier 2006 par décision du 5 décembre 2007 au motif d'un éthylisme grave lié à des crises comitiales et un status psychosocial problématique. La décision d'octroi de rente a mis en garde l'assuré qu'il avait l'obligation de se faire suivre en un établissement spécialisé afin d'entreprendre un sevrage sous peine de voir ses prestations d'invalidité réduites ou refusées temporairement, en application de l'art. 21 al. 4 LPGA, s'il ne devait pas se conformer à son devoir de diminuer, dans la mesure de ce qui pouvait être exigé de lui, les conséquences de son atteinte à la santé.</w:t>
      </w:r>
    </w:p>
    <w:p>
      <w:r>
        <w:rPr>
          <w:b/>
        </w:rPr>
        <w:t>E. 9.2</w:t>
      </w:r>
    </w:p>
    <w:p>
      <w:r>
        <w:t>En l'occurrence il appert que l'assuré s'est conformé à son obligation comme cela ressort de la documentation médicale produite dans le cadre de la révision du droit à la rente. En effet il résulte de l'ensemble des documents médicaux que l'assuré est abstinent depuis plusieurs années. Par ailleurs il peut être relevé que l'abstinence a été bénéfique quant à la survenance de crises comitiales relativement peu rapprochées. Le rapport E 213 du 2 septembre 2009 note une crise d'épilepsie remontant à 149 jours, celui du 11 décembre 2009 relève certes une crise remontant à 11 jours, mais un rapport médical du 5 mai 2010 relève également que l'intéressé n'avait pas perdu connaissance depuis son traitement de l'épilepsie et n'indique rien de particulier à leur sujet. Sur le plan purement psychiatrique, la documentation au dossier atteste d'une nette amélioration. Le rapport psychiatrique du Dr B._______ du 16 novembre 2009 relève un bon status mental sans malaise notable, pas de détérioration cognitive ni symptôme psychotique ou altération affective, ni anxiété cliniquement déterminante. Il conclut à l'absence d'une symptomatologie psychique limitant la capacité de travail. Cette appréciation du status psychologique a été confirmée dans le rapport E 213 du 11 décembre suivant. Or rien au dossier, exceptées les allégations de l'assuré, ne permet de mettre en doute l'amélioration de l'état psychique de l'assuré résultant en grande partie, selon le service médical de l'OAIE, de l'abstinence observée. Il s'ensuit que l'on peut dans tous les cas nier l'existence d'un alcoolisme même sourd et d'une comorbidité psychiatrique.</w:t>
      </w:r>
    </w:p>
    <w:p>
      <w:r>
        <w:rPr>
          <w:b/>
        </w:rPr>
        <w:t>E. 9.3</w:t>
      </w:r>
    </w:p>
    <w:p>
      <w:r>
        <w:t>Dans son rapport médical du 16 mars 2010, la Dresse C._______, se référant à la prise de position du Dr B._______, retint que l'assuré n'ayant pas de pathologie psychiatrique pouvait exercer à 80% son ancienne activité d'aide de cuisine et précisa que cette appréciation était également celle du rapport E 213 du 11 décembre 2009. Tel n'est cependant pas le cas. Les deux rapports E 213 au dossier des 2 septembre et 11 décembre 2009 indiquent certes un bon état mental et rien de particulier sur le plan somatique mais ne reconnaissent à l'intéressé qu'une capacité de travail très limitée. La Dresse C._______ s'est ainsi écartée des rapports E 213. Toutefois le Tribunal de céans, vu le contenu desdits rapports et la prise de position sans réserve du Dr B._______, partage les conclusions de la Dresse C._______ selon lesquelles l'intéressé peut reprendre à 80%, en tout cas à plus de 60%, son ancienne activité dans la restauration tout à fait compatible avec ses atteintes à la santé et les risques de crises comitiales potentielles. L'appréciation de l'amélioration de l'état de santé de l'assuré peut ainsi être confirmée de même que celle de sa capacité résiduelle de travail telles que retenues à juste titre par l'OAIE.</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10.3</w:t>
      </w:r>
    </w:p>
    <w:p>
      <w:r>
        <w:t>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11.1</w:t>
      </w:r>
    </w:p>
    <w:p>
      <w:r>
        <w:t>En l'espèce, dans la mesure où la capacité de travail de l'intéressé est de 80% dans son ancienne activité ou une activité analogue légère dans le secteur privé, le revenu qu'il pourrait obtenir en mettant à profit sa capacité actuelle de travail correspond à une incapacité de gain de 20% (comparaison en pour-cent; ATF 114 V 310 consid. 3a; 104 V 135 consid. 2b). Dans cette approche de l'invalidité économique, il n'y a pas lieu de prendre en compte un abattement pour raisons personnelles du fait même que le service médical de l'OAIE a estimé que la capacité de travail de l'intéressé, tous aspects pris en compte, était de 80% dans son ancienne activité ou une activité adaptée assimilée. Le Tribunal de céans peut ainsi confirmer cette appréciation et le résultat de la détermination économique de l'invalidité effectuée par l'administration ne retenant qu'une perte de gain de 20%. Même s'il fallait prendre en compte quelques circonstances personnelles comme le fait de n'avoir pas retravaillé depuis de nombreuses années et d'être limité à des travaux dits légers, justifiant un abattement de quelque 10% voire de 15% au maximum sur le gain avec invalidité dans la même branche, il se trouve qu'une perte de gain de 40% ne saurait être retenue.</w:t>
      </w:r>
    </w:p>
    <w:p>
      <w:r>
        <w:rPr>
          <w:b/>
        </w:rPr>
        <w:t>E. 11.2</w:t>
      </w:r>
    </w:p>
    <w:p>
      <w:r>
        <w:t>Vu ce qui précède le droit de l'intéressé à une rente d'invalidité au-delà du 31 août 2010 doit être nié et le recours, mal fondé, être rejeté.</w:t>
      </w:r>
    </w:p>
    <w:p>
      <w:r>
        <w:rPr>
          <w:b/>
        </w:rPr>
        <w:t>E. 12</w:t>
      </w:r>
    </w:p>
    <w:p>
      <w:r>
        <w:t>Dans le cadre de cette révision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ou son maintien si, comme en l'espèce, l'intéressée est encore relativement jeune.</w:t>
      </w:r>
    </w:p>
    <w:p>
      <w:r>
        <w:rPr>
          <w:b/>
        </w:rPr>
        <w:t>E. 13.1</w:t>
      </w:r>
    </w:p>
    <w:p>
      <w:r>
        <w:t>La présente procédure est en principe soumise à des frais de justice (art. 69 al. 1bis et 2 LAI). Dans un courrier du 20 octobre 2010, le recourant a demandé le bénéfice de l'assistance judiciaire et a transmis les documents requis attestant de son indigence par un courrier reçu le 19 novembre suivant. Il se justifie donc de dispenser le recourant du paiement des frais de procédure (art. 65 PA).</w:t>
      </w:r>
    </w:p>
    <w:p>
      <w:r>
        <w:rPr>
          <w:b/>
        </w:rPr>
        <w:t>E. 13.2</w:t>
      </w:r>
    </w:p>
    <w:p>
      <w:r>
        <w:t>Vue l'issue de la cause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