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C-6380/2011 vom 5. Juni 2013</w:t>
      </w:r>
    </w:p>
    <w:p>
      <w:r>
        <w:t>Bundesverwaltungsgericht, 2013-06-05, DE</w:t>
      </w:r>
    </w:p>
    <w:p>
      <w:r>
        <w:rPr>
          <w:b/>
        </w:rPr>
        <w:t xml:space="preserve">Quelle: </w:t>
      </w:r>
      <w:r>
        <w:t>https://mcp.opencaselaw.ch/entscheid/bvger_C-6380_2011</w:t>
      </w:r>
    </w:p>
    <w:p>
      <w:r>
        <w:t>FR: TAF C-6380/2011 du 5 juin 2013</w:t>
      </w:r>
    </w:p>
    <w:p>
      <w:r>
        <w:t>IT: TAF C-6380/2011 del 5 giugno 2013</w:t>
      </w:r>
    </w:p>
    <w:p>
      <w:pPr>
        <w:pStyle w:val="Heading2"/>
      </w:pPr>
      <w:r>
        <w:t>Regeste</w:t>
      </w:r>
    </w:p>
    <w:p>
      <w:r>
        <w:t>Rente</w:t>
      </w:r>
    </w:p>
    <w:p>
      <w:pPr>
        <w:pStyle w:val="Heading2"/>
      </w:pPr>
      <w:r>
        <w:t>Erwägungen</w:t>
      </w:r>
    </w:p>
    <w:p>
      <w:r>
        <w:rPr>
          <w:b/>
        </w:rPr>
        <w:t>E. 3</w:t>
      </w:r>
    </w:p>
    <w:p>
      <w:r>
        <w:t>Vorliegend ist strittig und vom Bundesverwaltungsgericht zu prüfen, ob die SAK die Rente des Beschwerdeführers korrekt ermittelt hat.</w:t>
      </w:r>
    </w:p>
    <w:p>
      <w:r>
        <w:rPr>
          <w:b/>
        </w:rPr>
        <w:t>E. 3.1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3.2</w:t>
      </w:r>
    </w:p>
    <w:p>
      <w:r>
        <w:t>Für jeden beitragspflichtigen Versicherten werden individuelle Kon­ten geführt, in welche die für die Berechnung der ordentlichen Ren­ten erforderlichen Angaben eingetragen werden. Der Bundesrat re­gelt die Einzelheiten (Art. 30ter Abs. 1 AHVG).</w:t>
      </w:r>
    </w:p>
    <w:p>
      <w:r>
        <w:rPr>
          <w:b/>
        </w:rPr>
        <w:t>E. 3.2.1</w:t>
      </w:r>
    </w:p>
    <w:p>
      <w:r>
        <w:t>Gemäss Art. 138 Abs. 1 AHVV in Verbindung mit Art. 30ter Abs. 2 AHVG sind die von einem Arbeitnehmer er­zielten Erwerbseinkommen, von welchen der Arbeitgeber die gesetz­lichen Beiträge abgezogen hat, in das individuelle Konto einzutragen, selbst wenn der Arbeitgeber die ent­sprechenden Beiträge der Aus­gleichskasse nicht entrichtet hat. Die gleiche Ordnung gilt auch dann, wenn Arbeitgeber und Arbeitnehmer eine Nettolohnvereinbarung ge­trof­fen haben, das heisst wenn der Ar­beitgeber sämtliche Beiträge zu seinen Lasten übernimmt. Diese beiden Sondertatbestände müssen aber einwandfrei nachgewiesen sein. Ist der Nachweis nicht erbracht, dass der Arbeitgeber tatsächlich die Beiträge vom Lohn seines Ar­beit­nehmers abgezogen hat, oder lässt sich eine behauptete Netto­lohnvereinbarung nicht eindeutig fest­stellen, so dürfen die ent­sprechenden Einkommen nicht ins indi­viduelle Konto eingetragen werden (BGE 117 V 261 E. 3a mit Hin­weisen).</w:t>
      </w:r>
    </w:p>
    <w:p>
      <w:r>
        <w:rPr>
          <w:b/>
        </w:rPr>
        <w:t>E. 3.2.2</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Erw. 3b und 3d).</w:t>
      </w:r>
    </w:p>
    <w:p>
      <w:r>
        <w:rPr>
          <w:b/>
        </w:rPr>
        <w:t>E. 3.2.3</w:t>
      </w:r>
    </w:p>
    <w:p>
      <w:r>
        <w:t>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 Wie die­ser Beweis erbracht werden muss, ist nicht vorgeschrieben.</w:t>
      </w:r>
    </w:p>
    <w:p>
      <w:r>
        <w:rPr>
          <w:b/>
        </w:rPr>
        <w:t>E. 3.3</w:t>
      </w:r>
    </w:p>
    <w:p>
      <w:r>
        <w:t>Als massgebender Lohn gilt jedes Entgelt für in unselbständiger Stellung auf bestimmte oder unbestimmte Zeit geleistete Arbeit (Art. 5 Abs. 2 AHVG). Der Bundesrat kann Sozialleistungen sowie anlässlich besonderer Ereignisse erfolgende Zuwendungen eines Arbeitgebers an seine Arbeitnehmer vom Einbezug in den massgebenden Lohn ausnehmen (Art. 5 Abs. 4 AHVG). Nicht zum Erwerbseinkommen gehören Versicherungsleistungen bei Unfall, Krankheit oder Invalidität, ausgenommen die Taggelder nach Artikel 25 des Bundesgesetzes vom 19. Juni 1959 über die Invalidenversicherung (IVG) und nach Artikel 29 des Bundesgesetzes vom 19. Juni 1992 über die Militärversicherung (Art. 6 Abs. 2 lit. b AHVV).</w:t>
      </w:r>
    </w:p>
    <w:p>
      <w:r>
        <w:rPr>
          <w:b/>
        </w:rPr>
        <w:t>E. 3.4</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w:t>
      </w:r>
    </w:p>
    <w:p>
      <w:r>
        <w:rPr>
          <w:b/>
        </w:rPr>
        <w:t>E. 3.5</w:t>
      </w:r>
    </w:p>
    <w:p>
      <w:r>
        <w:t>Nachfolgend ist zu prüfen, ob die SAK die Altersrente des Beschwerdeführers korrekt berechnet hat. Dem Beschwerdeführer wurden 8 Jahre und 8 Monate Beitragsdauer angerechnet, was gestützt auf das IK korrekt ist. Da für das Jahr des Nachtrags-IK (2010) bereits 12 Monate berücksichtigt wurden, erhöht sich die Beitragszeit durch das Nachtrags-IK nicht. Der Jahrgang des Beschwerdeführers (1946) weist im Jahr des Versicherungsfalls (2011) 44 Beitrags­jahre auf (Rententabellen 2011 S. 8). Gemäss Skalenwähler kommt beim Beschwerdeführer mit 8 Beitragsjahren die Rentenskala 8 zur Anwendung (Rententabellen 2011 S. 10). Zu Gunsten des Beschwerdeführers sind im IK für die Jahre 2001 bis 2010 Einkommen von insgesamt Fr. 594'252.-- registriert. Die SAK ging im Einspracheentscheid noch von einem Einkommen von Fr. 589'217.-- aus. Unter Berücksichtigung des Nachtrags-IK über Fr. 5'035.-- ergibt sich der obgenannte Betrag von Fr. 594'252.--. Dass bei den zu berücksichtigenden Einkommen die Unfalltaggelder nicht zu berücksichtigen waren, ist korrekt (vgl. E. 3.3 hiervor), weshalb auch die Stornierung von Fr. 79'483.-- im Jahr 2008, das vom Beschwerdeführer bemängelte Einkommen der A._______ im Jahr 2006 (Fr. 41'589.-- anstatt Fr. 55'223.--; vgl. den entsprechenden Lohnausweis) und das Einkommen für den Monat Januar 2009 nicht zu beanstanden sind. Auch die Arbeitgeberin des Beschwerdeführers bestätigte mit Schreiben vom 18. April 2012 respektive 27. März 2012 (IV-act. 50 S. 1 und 2), dass dieser zwischen dem 27. November 2007 und seinem Austritt am 31. Januar 2009 (mit Unterbrüchen) arbeitsunfähig gewesen sei und es sich bei den ausbezahlten Beträgen um Korrekturen von Sozialversicherungsbeiträgen gehandelt habe. Das ermittelte Gesamteinkommen ist zwecks Ausgleichung der Inflation entsprechend dem Rentenindex gemäss Art. 33ter AHVG aufzuwerten. Da der erste IK-Eintrag erst im Jahr 2001 erfolgte, ist das Einkommen vorliegend jedoch nicht aufzuwerten (Rententabellen 2011 S. 15). Das Gesamteinkommen entspricht unter Berücksichtigung der zurückgelegten Beitragszeiten (104 Monate) einem durchschnittlichen Jahreseinkommen von Fr. 68'568.-- (= Fr. 594'252.-- : 104 x 12). Dieser Betrag ist auf den nächsthöheren Tabellenwert des massgebenden durchschnittlichen Einkommens aufzurunden. Gemäss den Rententabellen 2011 (Skala 8, S. 90) ergibt ein massgebendes Gesamteinkommen von bis zu Fr. 69'600.-- eine monatliche Rente von Fr. 388.--. Zusammenfassend ist somit festzuhalten, dass die SAK bei der Rentenberechnung grundsätzlich korrekt vorgegangen ist, dass sich aber die Rente aufgrund des während des Beschwerdeverfahrens eingegangenen Nachtrags-IK - wie die SAK zu Recht ausführte - leicht erhöht. Die Beschwerde ist somit gutzuheissen und der angefochtene Entscheid ist aufzuheben. Dem Beschwerdeführer ist mit Wirkung ab 1. Februar 2011 eine Altersrente in der Höhe von monatlich Fr. 388.-- auszurichten.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 Die unterliegende SAK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