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C-6374/2020 vom 7. Juni 2021</w:t>
      </w:r>
    </w:p>
    <w:p>
      <w:r>
        <w:t>Bundesverwaltungsgericht, 2021-06-07, DE</w:t>
      </w:r>
    </w:p>
    <w:p>
      <w:r>
        <w:rPr>
          <w:b/>
        </w:rPr>
        <w:t xml:space="preserve">Quelle: </w:t>
      </w:r>
      <w:r>
        <w:t>https://mcp.opencaselaw.ch/entscheid/bvger_C-6374_2020</w:t>
      </w:r>
    </w:p>
    <w:p>
      <w:r>
        <w:t>FR: TAF C-6374/2020 du 7 juin 2021</w:t>
      </w:r>
    </w:p>
    <w:p>
      <w:r>
        <w:t>IT: TAF C-6374/2020 del 7 giugno 2021</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durch den angefochtenen Einspracheentscheid besonders berührt und hat an dessen Aufhebung bzw. Abänderung ein schutzwürdiges Interesse, weshalb er beschwerdelegitimiert ist (Art. 48 Abs. 1 VwVG; siehe auch Art. 59 ATSG [SR 830.1]). Auf die frist- und formgerecht eingereichte Beschwerde ist daher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des Einspracheentscheids vom 23. November 2020 in Kraft standen; weiter aber auch Vorschriften, die zu jenem Zeitpunkt bereits ausser Kraft getreten waren, die aber für die Beurteilung allenfalls früher entstandener Leistungsansprüche von Belang sind.</w:t>
      </w:r>
    </w:p>
    <w:p>
      <w:r>
        <w:rPr>
          <w:b/>
        </w:rPr>
        <w:t>E. 3.1</w:t>
      </w:r>
    </w:p>
    <w:p>
      <w:r>
        <w:t>Der Beschwerdeführer ist kosovarischer Staatsangehöriger und lebt in der Republik Kosovo. 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Jugoslawien) für alle Staatsangehörigen des ehemaligen Jugoslawiens anwendbar (BGE 126 V 198 E. 2B; BGE 122 V 381 E. 1). Ab dem 1. April 2010 war das Sozialversicherungsabkommen Jugoslawien jedoch nicht weiter auf kosovarische Staatsangehörige anwendbar (BGE 139 V 263). Die Nichtweiterführung des Sozialversicherungsabkommens mit der Republik Kosovo hatte zur Folge, dass deren Staatsangehörige nicht mehr die Rechtsstellung als Vertragsausländerinnen und -ausländer innehatten. Sie galten neu als Nichtvertragsausländerinnen und - ausländer (BGE 139 V 263 E. 14; 139 V 335 E. 6.1; Urteil des BGer 9C_279/2013 vom 25. September 2013 E. 3.2). Seit dem 1. September 2019 sind das Abkommen vom 8. Juni 2018 zwischen der Schweizerischen Eidgenossenschaft und der Republik Kosovo über soziale Sicherheit (SR 0.831.109.475.1; im Folgenden: Sozialversicherungsabkommen Kosovo) und die Verwaltungsvereinbarung vom 8. Juni 2018 zur Durchführung des Sozialversicherungsabkommens (SR 0.831.109.475.11) in Kraft. Gemäss Art. 35 des Sozialversicherungsabkommens Kosovo ("Übergangsbestimmungen") begründet es keine Leistungsansprüche für den Zeitraum vor seinem Inkrafttreten (Abs. 1). In zeitlicher Hinsicht sind - vorbehältlich besonderer übergangsrechtlicher Regelungen - grundsätzlich diejenigen Rechtssätze massgebend, die bei der Erfüllung des zu Rechtsfolgen führenden Tatbestandes Geltung haben. Es ist deshalb auf die im Zeitpunkt des Gesuchs geltende Rechtslage abzustellen (BGE 136 V 24 E. 4.4; Urteil BVGer C-5012/2014 vom 25. März 2015 E. 3.1). Da der Beschwerdeführer sein Gesuch für eine schweizerische Altersrente am 6. September 2019 gestellt hat, ist das Sozialversicherungsabkommen Kosovo anwendbar. Der Beschwerdeführer gilt als Vertragsausländer.</w:t>
      </w:r>
    </w:p>
    <w:p>
      <w:r>
        <w:rPr>
          <w:b/>
        </w:rPr>
        <w:t>E. 3.2</w:t>
      </w:r>
    </w:p>
    <w:p>
      <w:r>
        <w:t>Nach Art. 16 des Sozialversicherungsabkommen Kosovo haben Staatsangehörige von Kosovo und ihre Hinterlassenen unter den gleichen Voraussetzungen wie schweizerische Staatsangehörige und deren Hinterlassene Anspruch auf die ordentlichen Renten und die Hilflosenentschädigungen der schweizerischen Alters- und Hinterlassenenversicherung. Die Absätze 2 - 5 bleiben vorbehalten (Abs. 1). Haben Staatsangehörige von Kosovo oder deren Hinterlassene, die nicht in der Schweiz wohnen, Anspruch auf eine ordentliche Teilrente, die höchstens zehn Prozent der entsprechenden ordentlichen Vollrente beträgt, so wird ihnen anstelle der Teilrente eine einmalige Abfindung in der Höhe des Barwertes der Rente gewährt. Verlassen Staatsangehörige von Kosovo oder deren Hinterlassene, die eine solche Teilrente bezogen haben, die Schweiz endgültig, so wird ihnen ebenfalls eine Abfindung gewährt, die dem Barwert der Rente im Zeitpunkt der Ausreise entspricht (Abs. 2). Beträgt die ordentliche Teilrente mehr als zehn Prozent, aber höchstens zwanzig Prozent der entsprechenden ordentlichen Vollrente, so können die Staatsangehörigen von Kosovo oder deren Hinterlassene, die nicht in der Schweiz wohnen oder die diese endgültig verlassen, zwischen der Ausrichtung der Rente oder einer Abfindung wählen. Diese Wahl ist im Verlauf des Rentenfestsetzungsverfahrens zu treffen, falls die berechtigte Person bei Eintritt des Versicherungsfalles ausserhalb der Schweiz wohnt, oder bei Verlassen des Landes, falls sie in der Schweiz bereits eine Rente bezogen hat (Abs. 3).</w:t>
      </w:r>
    </w:p>
    <w:p>
      <w:r>
        <w:rPr>
          <w:b/>
        </w:rPr>
        <w:t>E. 3.3</w:t>
      </w:r>
    </w:p>
    <w:p>
      <w:r>
        <w:t>Nachdem das Abkommen keine entsprechenden Bestimmungen enthält, bleibt die Ausgestaltung des Verfahrens, die Prüfung der Anspruchsvoraussetzungen und die Berechnung der schweizerischen Altersrente / der einmaligen Abfindung mangels einschlägiger staatsvertraglicher Regelung grundsätzlich Sache der innerstaatlichen Rechtsordnung (vgl. BGE 130 V 51 ff.; SVR 2004 AHV Nr. 16 S. 49).</w:t>
      </w:r>
    </w:p>
    <w:p>
      <w:r>
        <w:rPr>
          <w:b/>
        </w:rPr>
        <w:t>E. 4</w:t>
      </w:r>
    </w:p>
    <w:p>
      <w:r>
        <w:t>Anfechtungsobjekt und damit Begrenzung des Streitgegenstandes des vorliegenden Beschwerdeverfahrens (BGE 131 V 164 E. 2.1) bildet der Einspracheentscheid vom 23. November 2020. Streitig und vom Bundesverwaltungsgericht zu prüfen ist der Betrag der einmaligen Abfindung.</w:t>
      </w:r>
    </w:p>
    <w:p>
      <w:r>
        <w:rPr>
          <w:b/>
        </w:rPr>
        <w:t>E. 4.1</w:t>
      </w:r>
    </w:p>
    <w:p>
      <w:r>
        <w:t>Gemäss dem individuellen Konto legte der Versicherte in der Schweiz 1973, 1974 und 1990 als Arbeitnehmer eine Gesamtversicherungszeit von 21 Monaten zurück (act. 35). Der Beschwerdeführer macht für 1970 neun zusätzliche Beitragsmonate geltend.</w:t>
      </w:r>
    </w:p>
    <w:p>
      <w:r>
        <w:rPr>
          <w:b/>
        </w:rPr>
        <w:t>E. 4.2</w:t>
      </w:r>
    </w:p>
    <w:p>
      <w:r>
        <w:t>Zum individuellen Konto (IK) ist Folgendes festzuhalten:</w:t>
      </w:r>
    </w:p>
    <w:p>
      <w:r>
        <w:rPr>
          <w:b/>
        </w:rPr>
        <w:t>E. 4.2.1</w:t>
      </w:r>
    </w:p>
    <w:p>
      <w:r>
        <w:t>Die Beitragsdauer einer versicherten Person bestimmt sich in der Re-gel nach den Einträgen in ihren individuellen Konten (vgl. Art. 30ter AHVG). Jede Ausgleichskasse führt unter der Nummer der versicherten Person ein individuelles Konto über die Erwerbseinkommen, für die ihr bis zur Entstehung des Anspruchs auf eine Altersrente die Beiträge entrichtet worden sind (Art. 137 AHVV). Die Eintragung umfasst unter anderem das Beitragsjahr und die Beitragsdauer in Monaten sowie das Jahreseinkommen in Franken (Art. 140 Abs. 1 lit. d und e AHVV). Die Eintragungen auf dem individuellen Konto sind auf einer Liste aufzuzeichnen und der Zentralen Ausgleichskasse zu melden (Art. 140 Abs. 2 AHVV).</w:t>
      </w:r>
    </w:p>
    <w:p>
      <w:r>
        <w:rPr>
          <w:b/>
        </w:rPr>
        <w:t>E. 4.2.2</w:t>
      </w:r>
    </w:p>
    <w:p>
      <w:r>
        <w:t>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individuellen Konto (BGE 117 V 261 E. 3a).</w:t>
      </w:r>
    </w:p>
    <w:p>
      <w:r>
        <w:rPr>
          <w:b/>
        </w:rPr>
        <w:t>E. 4.2.3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565 - 568).</w:t>
      </w:r>
    </w:p>
    <w:p>
      <w:r>
        <w:rPr>
          <w:b/>
        </w:rPr>
        <w:t>E. 4.2.4</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individuellen Konto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4.3.1</w:t>
      </w:r>
    </w:p>
    <w:p>
      <w:r>
        <w:t>Der Versicherte kann den vollen Beweis für die fehlende Eintragung im individuellen Konto für das Jahr 1970 eingestandenermassen nicht erbringen, weil ihm die Unterlagen zum Erwerbseinkommen, das er vom 3. April bis 30. November 1970 erzielt habe, in den Kriegswirren 1998 / 1999 abhanden gekommen seien (BVGer act. 1). Aus der Wohnsitzbestätigung der Gemeindeverwaltung F._______ in C._______ und dem Vermerk im Reisepass ergibt sich nur, dass der Beschwerdeführer vom 3. April bis 30. November 1970 (als Landarbeiter) bei B._______ wohnhaft war. AHV-Beiträge, die auf Erwerbseinkommen abgeführt wurden, sind damit jedoch nicht dokumentiert. Die eingereichten Unterlagen sind damit untauglich, um eine ergänzende Eintragung im individuellen Konto für das Jahr 1970 herbeizuführen. Der Versicherte scheitert am vollen Beweis.</w:t>
      </w:r>
    </w:p>
    <w:p>
      <w:r>
        <w:rPr>
          <w:b/>
        </w:rPr>
        <w:t>E. 4.3.2</w:t>
      </w:r>
    </w:p>
    <w:p>
      <w:r>
        <w:t>Die Vorinstanz führte mit Vernehmlassung vom 19. Februar 2021 unter anderem aus, die Nachforschung der Ausgleichskasse D._______ habe sich «sehr wohl auf Herrn B._______ in C._______ und nicht in E._______ bezogen». Es handle sich um einen Schreibfehler im Einspracheentscheid (BVGer act. 6). Dies trifft tatsächlich zu, denn die Ausgleichskasse D._______ teilte der Vorinstanz am 6. Oktober 2020 nachweislich mit, dass es nach Durchsicht der Unterlagen in C._______ keinen Landwirt B._______ gebe (act. 47, 50). Die Vorinstanz hat mit ihrer Abklärung dem Untersuchungsgrundsatz Genüge getan. Auf die Auskunft der Ausgleichskasse D._______ ist abzustellen. Es ist sodann auch nicht davon auszugehen, dass weitere Beweismassnahmen noch zu neuen Erkenntnissen führen würden. Auf die Abnahme weiterer Beweise ist daher in antizipierter Beweiswürdigung zu verzichten (vgl. Ueli Kieser, Das Verwaltungsverfahren in der Sozialversicherung, Zürich 1999, S. 212, Rz. 450; vgl. auch BGE 122 II 464 E. 4a, BGE 122 III 219 E. 3c, BGE 120 1b 224 E. 2b, BGE 119 V 335 E. 3c mit Hinweisen).</w:t>
      </w:r>
    </w:p>
    <w:p>
      <w:r>
        <w:rPr>
          <w:b/>
        </w:rPr>
        <w:t>E. 4.3.3</w:t>
      </w:r>
    </w:p>
    <w:p>
      <w:r>
        <w:t>Die objektive Beweislast beurteilt sich im Sozialversicherungsprozess nach dem materiellen Recht und damit unabhängig davon, ob der Untersuchungs- oder Verhandlungsgrundsatz gilt. Der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Dies bedeutet, dass für rechtserzeugende oder anspruchsbegründende Tatsachen diejenige Person die Folgen der Beweislosigkeit trägt, die das Recht geltend macht. Im vorliegenden Fall trägt der Versicherte die Folgen der Beweis-losigkeit. Dass ihm die Unterlagen zum Erwerbseinkommen, das er vom 3. April bis 30. November 1970 erzielte, unverschuldet abhanden gekommen sind, ändert daran nichts.</w:t>
      </w:r>
    </w:p>
    <w:p>
      <w:r>
        <w:rPr>
          <w:b/>
        </w:rPr>
        <w:t>E. 4.3.4</w:t>
      </w:r>
    </w:p>
    <w:p>
      <w:r>
        <w:t>Damit ist festzustellen, dass gemäss dem individuellen Konto unverändert von einer Gesamtversicherungszeit von 21 Monaten auszugehen ist. Wie die Vorinstanz im Einspracheentscheid vom 23. November 2020 zutreffend ausführte, kann das individuelle Konto nicht ergänzt werden, weil beweiskräftige Unterlagen zum Erwerbseinkommen von 1970 und den entsprechenden AHV-Beiträgen fehlen (act. 53).</w:t>
      </w:r>
    </w:p>
    <w:p>
      <w:r>
        <w:rPr>
          <w:b/>
        </w:rPr>
        <w:t>E. 4.4.1</w:t>
      </w:r>
    </w:p>
    <w:p>
      <w:r>
        <w:t>Weitere stichhaltige Einwände trägt der Versicherte nicht vor. Die Berechnung der einmaligen Abfindung ergibt sich insgesamt schlüssig und nachvollziehbar aus den Akten (vgl. act. 34 ff.). Die Vorinstanz hat sodann mit Einspracheentscheid vom 23. November 2020 ausführlich zum Zustandekommen des Betrags von Fr. 10'899.- Stellung genommen (act. 53). Darauf ist an dieser Stelle zu verweisen. Aufgrund der Akten bestehen keine Hinweise darauf, dass der Vorinstanz bei der Berechnung der einmaligen Abfindung ein Fehler unterlaufen ist. Weitere Ausführungen zu den Berechnungsdetails erübrigen sich.</w:t>
      </w:r>
    </w:p>
    <w:p>
      <w:r>
        <w:rPr>
          <w:b/>
        </w:rPr>
        <w:t>E. 4.4.2</w:t>
      </w:r>
    </w:p>
    <w:p>
      <w:r>
        <w:t>In Anbetracht des Schreibens vom 9. Dezember 2020, das der Beschwerdeführer an die Vorinstanz richtete, ist der Vollständigkeit halber festzuhalten, dass über die einmalige Abfindung hinaus nicht noch ein zusätzlicher Anspruch für die Erziehung der vier längst erwachsenen Kinder besteht (keine Kinderrente, kein Kindergeld und keine Kinderzulage der AHV, auch nicht für die nicht bei der AHV versicherte Ehefrau; vgl. act. 55). In diesem Zusammenhang konnte von der Vorinstanz nur eine Erziehungsgutschrift angerechnet werden, weil angebrochene Jahre nicht aufgerundet werden (vgl. Randziffer 5430 der Wegleitung über die Renten [RWL] in der Eidgenössischen Alters-, Hinterlassenen und Invalidenversicherung, gültig ab 1. Januar 2003, Stand 1. Januar 2020). Auch insofern erweist sich der angefochtene Einspracheentscheid als rechtmässig.</w:t>
      </w:r>
    </w:p>
    <w:p>
      <w:r>
        <w:rPr>
          <w:b/>
        </w:rPr>
        <w:t>E. 4.4.3</w:t>
      </w:r>
    </w:p>
    <w:p>
      <w:r>
        <w:t>Im Übrigen ist darauf hinzuweisen, dass nach der im Februar 2020 erfolgten Auszahlung der Abfindung durch die schweizerische Versicherung gegenüber dieser Versicherung keine Ansprüche aus den bis dahin entrichteten Beiträgen mehr geltend gemacht werden können (vgl. Art. 16 Abs. 5 Sozialversicherungsabkommen Kosovo; act. 38).</w:t>
      </w:r>
    </w:p>
    <w:p>
      <w:r>
        <w:rPr>
          <w:b/>
        </w:rPr>
        <w:t>E. 5</w:t>
      </w:r>
    </w:p>
    <w:p>
      <w:r>
        <w:t>Zusammenfassend ist festzuhalten, dass sich die Beschwerde als offensichtlich unbegründet erweist, weshalb sie im einzelrichterlichen Verfahren abgewiesen wird (Art. 23 VGG i.V. mit Art. 85bis Abs. 3 AHVG). Der angefochtene Einspracheentscheid vom 23. November 2020 ist nicht zu beanstanden.</w:t>
      </w:r>
    </w:p>
    <w:p>
      <w:r>
        <w:rPr>
          <w:b/>
        </w:rPr>
        <w:t>E. 6.1</w:t>
      </w:r>
    </w:p>
    <w:p>
      <w:r>
        <w:t>Das Verfahren ist für die Parteien kostenlos (Art. 85bis Abs. 2 AHVG), weshalb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