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C-6374/2012 vom 23. Mai 2013</w:t>
      </w:r>
    </w:p>
    <w:p>
      <w:r>
        <w:t>Bundesverwaltungsgericht, 2013-05-23, DE</w:t>
      </w:r>
    </w:p>
    <w:p>
      <w:r>
        <w:rPr>
          <w:b/>
        </w:rPr>
        <w:t xml:space="preserve">Quelle: </w:t>
      </w:r>
      <w:r>
        <w:t>https://mcp.opencaselaw.ch/entscheid/bvger_C-6374_2012</w:t>
      </w:r>
    </w:p>
    <w:p>
      <w:r>
        <w:t>FR: TAF C-6374/2012 du 23 mai 2013</w:t>
      </w:r>
    </w:p>
    <w:p>
      <w:r>
        <w:t>IT: TAF C-6374/2012 del 23 maggio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w:t>
      </w:r>
    </w:p>
    <w:p>
      <w:r>
        <w:t>Das Bundesverwaltungsgericht hat den in der Beschwerde gestellten Beweisantrag (Einvernahme von A._______ als Zeuge) mit Zwischenverfügung vom 18. Dezember 2012 abgewiesen. Der Beschwerdeführer erhielt indes Gelegenheit, anstatt der Zeugenbefragung eine schriftliche Stellungnahme einzureichen. In der Folge reichte er am 16. Januar 2013 ein Schreiben von A._______ ein (zur antizipierten Beweiswürdigung vgl. Art. 33 Abs. 1 VwVG und BGE 136 I 229 E. 5.3 S. 236 f. mit Hinweisen; zur Subsidiarität der Zeugeneinvernahme: BGE 130 II 169 E. 2.3.3 S. 173 mit Hinweisen, Urteil des Bundesgerichts 1C_292/2010 vom 5. August 2010 E. 3.2; zum fehlenden Anspruch auf eine mündliche Anhörung: BGE 134 I 140 E. 5.3 S. 148). Der entscheidswesentliche Sachverhalt erschliesst sich denn, wie nachfolgend aufzuzeigen sein wird, in genügender Weise aus den Akten. 4.1 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4.2 Wird gegen eine Person, die nicht das Bürgerrecht eines Mitglied­staates der Europäischen Union besitzt, ein Ein­reiseverbot verhängt, wird diese gestützt auf Art. 94 Abs. 1 und Art. 96 des Schengener Durchführungsübereinkommen (SDÜ, Abl. L 239 vom 22. September 2000, S. 19-62) und Art. 16 Abs. 2 und 4 des Bundesgesetzes vom 13. Juni 2008 über die polizeilichen Informationssysteme des Bundes (BPI, SR 361) in der Regel im Schengener Informationssystem (SIS, vgl. Art. 92 ff. SDÜ) zur Einreiseverweigerung ausgeschrieben. Diese Ausschreibung bewirkt grundsätzlich, dass der Person die Einreise in das Hoheitsgebiet der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 4.3 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des Ausländerrechts fallen unter diese Begriffsbestimmung und können als solche ein Einreiseverbot nach sich ziehen (vgl. Botschaft,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 mit Hinweisen). 5.1 Die Vorinstanz stützt das Einreiseverbot auf Art. 67 Abs. 2 Bst. a AuG. Der Beschwerdeführer sei in der Schweiz erwerbstätig gewesen, ohne im Besitze der erforderlichen Bewilligung zu sein, und er habe so gegen die öffentliche Sicherheit und Ordnung verstossen. Der Beschwerdeführer beruft sich hingegen darauf, lediglich gefälligkeitshalber einem Freund seines Vaters behilflich gewesen zu sein. Es sei denn auch kein Entgelt vereinbart oder bezahlt worden. 5.2 Vorliegend ergeben sich jedoch aus den Akten keine Hinweise darauf, welche die Ausführungen des Beschwerdeführers bestätigen würden. Hinzuweisen gilt es insbesondere auf den Umstand, dass in casu nicht entscheidend ist, ob dem Beschwerdeführer von A._______ ein Entgelt ausgerichtet wurde oder nicht. Denn als Erwerbstätigkeit gilt im vorliegenden Zusammenhang jede üblicherweise gegen Entgelt ausgeübte unselbstständige oder selbstständige Tätigkeit, selbst wenn sie unentgeltlich erfolgt (Art. 11 Abs. 2 AuG). Ohne Belang für die Qualifikation als (unselbstständige) Erwerbstätigkeit ist unter anderem weiter, ob die Beschäftigung nur stunden- oder tageweise oder vorübergehend ausgeübt wird (Art. 1a Abs. 1 VZAE). Davon abgesehen wurde der Beschwerdeführer mit (rechtskräftigem) Strafbefehl vom 21. Dezember 2012 für sein Verhalten zu einer Geldstrafe von 40 Tagessätzen zu je Fr. 30.- (unbedingt) verurteilt. Die strafurteilende Behörde sah es als erstellt an, dass der Beschwerdeführer am 5. November 2012 von 11.00Uhr bis 13.20 Uhr in H._______ diverse Hilfsarbeiten ausführte, wobei auch bei einem abgetrennten Nebenraum ein Türrahmen provisorisch eingefügt wurde. Als Gegenleistung für die Hilfsarbeiten wurde dem Beschwerdeführer ein Abendessen angeboten. 5.3 Mit diesen Ausführungen sieht es das Bundesverwaltungsgericht als erwiesen an, dass in casu nicht von einer blossen Gefälligkeitshandlung ausgegangen werden kann. Unbehelflich erscheint in diesem Zusammenhang das Vorbringen des Beschwerdeführers, er habe den Tatbestand nicht explizit anerkannt (vgl. Beschwerde S. 5) bzw. immer ausgesagt, er habe keine strafbaren Handlungen vorgenommen, sondern lediglich einem Freund seines Vaters eine Hilfeleistung zukommen lassen (vgl. Replik S. 2). 5.4 Nicht von Belang für das vorliegende Verfahren ist zudem, dass das BFM die Fernhaltemassnahme verhängt hat, bevor der Strafbefehl ergangen ist. Das Einreiseverbot knüpft grundsätzlich nicht an die Erfüllung einer Strafnorm, sondern an das Vorliegen einer Polizeigefahr an. Ob eine solche besteht und wie sie zu gewichten ist, hat die Behörde in eigener Kompetenz unter Zugrundelegung spezifisch ausländerrechtlicher Kriterien zu beurteilen. Die Behörde ist deshalb in der Regel auch nicht gehalten, den rechtskräftigen Abschluss eines Strafverfahrens abzuwarten (vgl. Urteil des Bundesverwaltungsgerichts C-7510/2010 vom 20. November 2012 E. 5.2). Der Vollständigkeitshalber ist darauf hinzuweisen, dass für die Verhängung eines Einreiseverbots denn auch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Person obliegt es, sich über bestehende Rechte und Pflichten im Zusammenhang mit ausländerrechtlichen Vorschriften ins Bild zu setzen und sich nötigenfalls bei den zuständigen Stellen zu informieren (vgl. Urteil des Bundesverwaltungsgerichts C-4463/2008 vom 29. April 2009 E. 5.4 mit Hinweisen). 5.5 Der Beschwerdeführer hat nach dem Gesagten durch die Ausübung einer Erwerbstätigkeit ohne Besitz der erforderlichen Bewilligung hinreichenden Anlass für die Verhängung eines Einreiseverbots gemäss Art. 67 Abs. 2 Bst. a AuG gegeben. Kommt hinzu, dass er unter Ansetzung einer Frist von 2 Tagen aus der Schweiz weggewiesen wurde (vgl. Verfügung des Amts für Migration und Integration des Kantons Aargau vom 7. November 2012), was einen zwingenden Fernhaltegrund gemäss Art. 67 Abs. 1 Bst. a AuG i.V.m. Art. 64d Abs. 2 Bst. a oder b AuG darstellt. 6.1 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 6.2 Der Beschwerdeführer ging in der Schweiz ohne Bewilligung einer Erwerbstätigkeit nach und wurde deshalb weggewiesen. Aus dem manifestierten Verhalten des Beschwerdeführers wird auf eine Gefährdung der öffentlichen Sicherheit und Ordnung geschlossen. Das Einreiseverbot hat in erster Linie präventiven Charakter, um einer weiteren illegalen Erwerbstätigkeit des Beschwerdeführers entgegenzuwirken. Die Vorinstanz war demnach berechtigt, zur Abwendung künftiger Störungen ein Einreiseverbot zu verhängen.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(vgl. dazu Urteil des Bundesgerichts 2C_948/2011 vom 11. Juli 2012 E. 3.4.2 in fine). Überdies liegt eine spezialpräventive Zielsetzung der Massnahme darin, dass sie den Betroffenen ermahnt, bei einer allfälligen künftigen Wiedereinreise in die Schweiz nach Ablauf der Dauer des Einreiseverbots die für ihn geltenden Regeln einzuhalten (vgl. hierzu Urteil des Bundesverwaltungsgerichts C 2771/2010 vom 3. Februar 2012 E. 6.1). Es besteht somit ein gewichtiges öffentliches Interesse an der Fernhaltung des Beschwerdeführers. 6.3 An persönlichen Interessen bringt der Beschwerdeführer vor, er wolle weiterhin seinen Vater und seine Halbgeschwister in der Schweiz besuchen, womit er sinngemäss eine Verletzung seines Rechts auf Achtung des Privat- und Familienlebens nach Art. 8 der Konvention vom 4. November 1950 zum Schutze der Menschenrechte und Grundfreiheiten (EMRK, SR 0.101) und Art. 13 Abs. 1 der Bundesverfassung der Schweizerischen Eidgenossenschaft vom 18. April 1999 (BV,SR 101) rügt. 6.4 Diesbezüglich stellt sich zunächst die Frage, ob die Beziehung zwischen dem erwachsenen Beschwerdeführer und seinem Vater bzw. seinen Halbgeschwistern (geb. 1994 und 1999) ein Abhängigkeitsverhältnis darstellt und es sich überhaupt um eine schützenswerte familiäre Beziehung, d.h. um ein Familienleben im Sinne von Art. 8 EMRK handelt (vgl. dazu MARK E. VILLIGER, Handbuch der Europäischen Menschenrechtskonvention [EMRK], 2. Aufl., Zürich 1999, Rz 572 sowie BGE 125 II 521 E. 5 S. 529, BGE 120 Ib 257 E. 1d S. 261). Eine Abhängigkeit des Vaters oder der Halbgeschwister vom Beschwerdeführer ergibt sich jedoch weder aus den Akten noch wird eine solche geltend gemacht. Insbesondere ist auch das beschwerdeweise Vorbringen, dass es seinem an Krebs erkrankten Vater gut tue, ihn in der Nähe zu haben bzw. dass er ihm anlässlich seiner Besuche in der Schweiz tagsüber etwas im Haushalt helfe nicht geeignet, um von einem qualifizierten Betreuungs- oder Pflegeverhältnis auszugehen. Letztlich kann diese Frage jedoch offen bleiben, denn die durch die Fernhaltemassnahme verursachte Beeinträchtigung erweist sich als eher geringfügig. Ein Eingriff in eine geschützte Grundrechtsposition wäre im Übrigen gestützt auf Art. 8 Ziff. 2 EMRK ohnehin als zulässig zu betrachten. Insbesondere verfügt der in Serbien lebende Beschwerdeführer in der Schweiz über kein Aufenthaltsrecht, womit die Pflege regelmässiger persönlicher Kontakte zu seiner Familie bereits daran scheitert. Die Wirkung des Einreiseverbots besteht zudem nicht darin, dass dem Beschwerdeführer während dessen Geltungsdauer Besuchsaufenthalte bei ihm nahe stehenden Personen in der Schweiz schlichtweg untersagt wären. Wie bereits die Vorinstanz im Rahmen ihrer Vernehmlassung darauf hingewiesen hat, kann das Einreiseverbot auf begründetes Gesuch hin aus wichtigen Gründen befristet suspendiert werden (vgl. Art. 67 Abs. 5 AuG). Im Übrigen kann er den Kontakt zu seinen Familienangehörigen in der Schweiz auf andere Weise als durch Besuche in der Schweiz pflegen (Briefverkehr, Telefonate, Videotelefonie). Auch in Anbetracht dieser Umstände ist das Gewicht der privaten Interessen des Beschwerdeführers an der Möglichkeit, in naher Zukunft in die Schweiz einreisen zu können, als nicht erheblich einzustufen. 6.5 Eine Abwägung der gegenläufigen öffentlichen und privaten Interessen führt das Bundesverwaltungsgericht zum Schluss, dass das verhängte Einreiseverbot sowohl im Grundsatz als auch hinsichtlich seiner Dauer eine verhältnismässige und angemessene Massnahme zum Schutz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