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C-6369/2017 vom 31. Juli 2019</w:t>
      </w:r>
    </w:p>
    <w:p>
      <w:r>
        <w:t>Bundesverwaltungsgericht, 2019-07-31, FR</w:t>
      </w:r>
    </w:p>
    <w:p>
      <w:r>
        <w:rPr>
          <w:b/>
        </w:rPr>
        <w:t xml:space="preserve">Quelle: </w:t>
      </w:r>
      <w:r>
        <w:t>https://mcp.opencaselaw.ch/entscheid/bvger_C-6369_2017</w:t>
      </w:r>
    </w:p>
    <w:p>
      <w:r>
        <w:t>FR: TAF C-6369/2017 du 31 juillet 2019</w:t>
      </w:r>
    </w:p>
    <w:p>
      <w:r>
        <w:t>IT: TAF C-6369/2017 del 31 luglio 2019</w:t>
      </w:r>
    </w:p>
    <w:p>
      <w:pPr>
        <w:pStyle w:val="Heading2"/>
      </w:pPr>
      <w:r>
        <w:t>Regeste</w:t>
      </w:r>
    </w:p>
    <w:p>
      <w:r>
        <w:t>Révision de la rente</w:t>
      </w:r>
    </w:p>
    <w:p>
      <w:pPr>
        <w:pStyle w:val="Heading2"/>
      </w:pPr>
      <w:r>
        <w:t>Erwägungen</w:t>
      </w:r>
    </w:p>
    <w:p>
      <w:r>
        <w:rPr>
          <w:b/>
        </w:rPr>
        <w:t>E. 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Déposé en temps utile, dans les formes requises par la loi (art. 60 LPGA et 50 al. 1 PA ; art. 52 al. 1 PA) et l'avance sur les frais de procédure ayant été dûment acquittée (art. 64 al. 3 PA), le recours est recevable.</w:t>
      </w:r>
    </w:p>
    <w:p>
      <w:r>
        <w:rPr>
          <w:b/>
        </w:rPr>
        <w:t>E. 2.1</w:t>
      </w:r>
    </w:p>
    <w:p>
      <w:r>
        <w:t>Concernant le droit matériel applicable, l'affaire présente un aspect transfrontalier, dans la mesure où le recourant est un ressortissant espagnol, domicilié en Espagne, mais ayant travaillé en Suisse et cotisé à l'assurance vieillesse et invalidité. Est dès lors applicable l'accord du 21 juin 1999 sur la libre circulation des personnes (ALCP, RS 0.142.112.681), conclu entre la Suisse et la Communauté européenne et ses Etats membres, dont l'annexe II règle la coordination des systèmes de sécurité sociale (art. 8 ALCP). Depuis le 1er avril 2012, l'ALCP fait référence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Cela étant,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2.2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S'appliquent dès lors au cas d'espèce les dispositions légales dans leur teneur en vigueur jusqu'au jour de la décision attaquée, soit le 10 octobre 2017.</w:t>
      </w:r>
    </w:p>
    <w:p>
      <w:r>
        <w:rPr>
          <w:b/>
        </w:rPr>
        <w:t>E. 2.3</w:t>
      </w:r>
    </w:p>
    <w:p>
      <w:r>
        <w:t>Par ailleurs, le juge des assurances sociales apprécie la légalité des décisions attaquées, en règle générale, d'après l'état de fait existant jusqu'au moment où la décision litigieuse a été rendue, soit le 10 octobre 2017 (ATF 132 V 215 consid. 3.1.1 ; 130 V 445 consid. 1.2 ; 121 V 362 consid. 1b ; TF 9C_34/2017 du 20 avril 2017 consid. 5.2 et les réf. cit). Les faits postérieurs doivent néanmoins être pris en considération lorsqu'ils sont étroitement liés à l'objet du litige et de nature à influencer l'appréciation au moment où la décision attaquée a été rendue (arrêts du TF 9C_34/2017 du 20 avril 2017 consid. 5.2 et les réf. cit.).</w:t>
      </w:r>
    </w:p>
    <w:p>
      <w:r>
        <w:rPr>
          <w:b/>
        </w:rPr>
        <w:t>E. 3</w:t>
      </w:r>
    </w:p>
    <w:p>
      <w:r>
        <w:t>Le litige porte sur la suppression, à partir du 1er décembre 2017, du droit du recourant à une rente entière de l'assurance-invalidité.</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L'assuré a droit à un quart de rente s'il est invalide à 40% au moins, à une demi-rente s'il est invalide à 50% au moins, à trois quarts de rente s'il est invalide à 60% au moins et à une rente entière s'il est invalide à 70% au moins (art. 28 al. 2). L'invalidité au sens de cette disposition est l'incapacité de gain totale ou partielle présumée permanente ou de longue durée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4.2</w:t>
      </w:r>
    </w:p>
    <w:p>
      <w:r>
        <w:t>En vertu de l'art. 17 LPGA, si le taux d'invalidité du bénéficiaire de la rente subit une modification notable, la rente est, d'office ou sur demande, révisée pour l'avenir, à savoir augmentée ou réduite en conséquence, ou encore supprimée. Pour autant qu'il ressort clairement du dossier, tout changement important des circonstances propre à influencer le degré d'invalidité, et donc le droit à la rente, peut motiver une révision selon l'art. 17 LPGA (notamment : TF 9C_195/2017 du 27 novembre 2017, consid. 4.3.2 ; I 111/07 du 17 décembre 2007, consid. 3 et réf.cit.).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w:t>
      </w:r>
    </w:p>
    <w:p>
      <w:r>
        <w:rPr>
          <w:b/>
        </w:rPr>
        <w:t>E. 4.3</w:t>
      </w:r>
    </w:p>
    <w:p>
      <w:r>
        <w:t>Afin de pouvoir évaluer le taux d'invalidité ou établir un motif de révision, l'administration et, en cas de recours, le Tribunal,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125 V 256 consid. 4 p. 261 et les arrêts cités). En matière de révision, il revient en particulier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écartée (TF 9C_4718/2010 du 29 août 2011, consid. 4.2).</w:t>
      </w:r>
    </w:p>
    <w:p>
      <w:r>
        <w:rPr>
          <w:b/>
        </w:rPr>
        <w:t>E. 4.4</w:t>
      </w:r>
    </w:p>
    <w:p>
      <w:r>
        <w:t>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130 V 396 ; ATF 141 V 281 consid. 2.1 ; 143 V 418 consid. 6 et 8.1 ; TF 9C_815/2012 du 12 décembre 2012 consid. 3). L'élément déterminant pour reconnaitre pleine valeur probante à 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w:t>
      </w:r>
    </w:p>
    <w:p>
      <w:r>
        <w:rPr>
          <w:b/>
        </w:rPr>
        <w:t>E. 4.5</w:t>
      </w:r>
    </w:p>
    <w:p>
      <w:r>
        <w:t>La procédure dans le domaine des assurances sociales fait prévaloir la maxime inquisitoire (art. 43 LPGA ; ATF 138 V 218 consid. 6). Ainsi, l'autorité définit les faits et apprécie les preuves d'office et librement (art. 12 PA ; Pierre Moor/ Etienne Poltier, Droit administratif, vol. II, 3ème éd. 2011, ch. 2.2.6.3).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5</w:t>
      </w:r>
    </w:p>
    <w:p>
      <w:r>
        <w:t>Selon l'OAIE, l'état de santé de l'assuré s'est nettement amélioré depuis la décision de rente du 24 août 2012. A l'époque en effet, il présentait des atteintes d'ordre neurologique qui n'ont plus été observées lors de l'expertise du 30 septembre 2015. Or, ce sont essentiellement ces atteintes - soit une algodystrophie et un parkinsonisme - qui entravaient la reprise de toute activité professionnelle. Quant aux troubles persistants, ils restent compatibles avec l'exercice d'activités n'impliquant ni travaux lourds, ni le port répété de charges et n'exigeant pas de mouvements fréquents avec le membre supérieur droit. De son côté, le recourant critique ce point de vue, expliquant que son état de santé ne s'est pas amélioré depuis 2012 et que sa capacité de travail reste nulle, quelle que soit l'activité envisagée.</w:t>
      </w:r>
    </w:p>
    <w:p>
      <w:r>
        <w:rPr>
          <w:b/>
        </w:rPr>
        <w:t>E. 5.1</w:t>
      </w:r>
    </w:p>
    <w:p>
      <w:r>
        <w:t>En l'occurrence, tel qu'évoqué par plusieurs médecins consultés (AI pces 44, 66, 68, 71 et 72), on peut douter du bienfondé des conclusions des Drs C._______ et E._______ retenues à la base de la décision initiale de rente (AI pces 15, 19 et 21). Comme l'explique le Dr J._______, il apparaît en particulier singulier pour des médecins ne disposant pas de spécialisation en neurologie de retenir le diagnostic de parkinsonisme. Néanmoins, indépendamment de la discussion menée sur le plan médical par les Drs C._______ et E._______, leurs rapports respectifs sont précis et détaillés lorsqu'ils consignent les plaintes de l'assuré et dressent son status clinique. Ainsi, à bien comprendre l'avis du Dr E._______ du 6 mars 2012, l'incapacité de l'assuré à travailler s'explique essentiellement en raison d'une altération de la marche, ainsi que des tremblements, rigidité, difficultés à utiliser les membres supérieurs, sévères douleurs et amnésie dont il souffre. De même, le Dr C._______ rapporte l'incapacité de travail principalement à l'akinésie, à la bradyphrénie, à la rigidité, ainsi qu'aux tremblements mis en relation avec la maladie de Parkinson diagnostiquée par son confrère espagnol. Or, comme cela ressort de l'expertise réalisée auprès du CEMed, ces symptômes se sont en grande partie résorbés en 2015. Au status neurologique, la présence d'une bradykinésie est en particulier écartée, aucune akinésie n'étant en outre relevée, ni aucun tremblement constaté. Par ailleurs, à dires d'experts, les critères diagnostics ne sont plus remplis pour retenir la présence de l'algodystrophie documentée en 2010 et 2012. Quant à l'arthrite du genou dont souffrait l'assuré à l'époque de la décision de rente, elle a disparue dès 2013. Ainsi, nonobstant l'opinion des médecins consultés quant aux diagnostics à retenir et leur appréciation de l'état de fait médical, le rapport d'expertise du 30 septembre 2015 met incontestablement en évidence une amélioration de l'état de santé de l'assuré propre à influencer de manière notable son degré d'invalidité (cf. également AI pces 68, 72 et 75). L'autorité précédente était dès lors fondée à admettre la présence d'un motif de révision sur la base du rapport CEMed du 30 septembre 2019. Certes, on peut regretter que l'expertise ne contienne pas de chapitre abordant spécifiquement la façon dont l'état de santé de l'assuré a évolué depuis la décision de rente du 24 août 2012. Cette évolution est néanmoins expressément abordée dans le corps même de l'expertise, qui répond ainsi de façon circonstanciée aux questions médicales pertinentes du cas d'espèce. Comme l'explique le Dr P._______, il est vrai par ailleurs que le volet psychiatrique de l'expertise n'expose pas précisément le déroulement d'une journée de l'assuré (AI pce 73). A elle seule, cette circonstance ne saurait toutefois invalider les conclusions des spécialistes du CEMed. Ceux-ci ont en effet retranscrit de façon détaillée l'anamnèse de l'assuré, décrivant notamment ses activités quotidiennes ainsi que le contexte personnel, familial et socioprofessionnel dans lequel il évolue (AI pce 66, p. 14 ss). Aussi doit-on admettre que les experts ont recueilli les données nécessaires pour évaluer l'état de santé psychique de l'assuré et désigner ses répercussions sur sa capacité de travail. D'ailleurs, la jurisprudence simplifie la preuve du caractère invalidant de troubles dépressifs de degré moyen lorsque l'incapacité de travail est niée sur la base de rapports probants établis par des médecins spécialistes et que d'éventuelles appréciations contraires n'ont pas de valeur probante (ATF 143 V 409, consid. 4.5). Or en l'occurrence, il faut bien admettre que le rapport d'expertise du 30 septembre 2015 satisfait à tous les réquisits jurisprudentiels relatifs à la force probante de tels documents (ATF 125 V 351 consid. 3a). En effet, ce rapport repose sur une étude complète et circonstanciée de la situation médicale du recourant, ne contient pas d'incohérences et aboutit à des conclusions motivées et convaincantes. Du reste, les conclusions formulées au sujet de la capacité de travail de l'assuré dans une activité raisonnablement exigible ne sont infirmées par aucune des pièces médicales versées au dossier. A l'instar des autres médecins consultés depuis la réalisation de l'expertise CEMed, le Dr F._______ ne se prononce en particulier pas de façon convaincante sur la capacité de travail de l'assuré dans des activités adaptées. Bien qu'évoquant en 2016 encore une bradykinésie généralisée, ce médecin n'exprime ainsi pas que ce syndrome exclut toute capacité résiduelle de travail de l'assuré (AI pces 36 et 136 ; cf. également AI pces 68, 78ss, 235 et 237 ; TAF pces 19, 21 et 24). Quoiqu'il en soit, les médecins-conseil de l'OAIE ont expressément exclu que les prises de position succinctes du Dr F._______ et la documentation médicale postérieure à l'expertise remettent en cause les conclusions de l'expertise (AI pce 235 ; cf. également AI pces 237 et TAF 24). Enfin, contrairement à ce que semble exprimer le recourant, le fait que les autorités espagnoles lui reconnaissent une invalidité de 44 % n'est pas de nature à mettre en doute les conclusions des experts (notamment TAF pce 17 ; consid. 2.1 ci-avant).</w:t>
      </w:r>
    </w:p>
    <w:p>
      <w:r>
        <w:rPr>
          <w:b/>
        </w:rPr>
        <w:t>E. 5.2</w:t>
      </w:r>
    </w:p>
    <w:p>
      <w:r>
        <w:t>Il suit de ce qui précède que l'OAIE s'est à bon droit fondé sur les conclusions du rapport du CEMed du 30 septembre 2015 pour conclure que l'état du recourant s'est amélioré depuis la décision de rente du 24 août 2012 (cf. ATF 141 V 9, consid. 2.3 ; TF 9C_195/2017 du 27 novembre 2017, consid. 4.3.2). Les conclusions des experts ayant pleine valeur probante (consid. 5.1 ci-avant), c'est à juste titre également que l'autorité précédente a considéré qu'en dépit de ses atteintes au niveau du membre supérieur droit et de ses cervicalgies et lombalgies chroniques, l'assuré présente désormais une pleine capacité de travail dans une activité n'impliquant pas de travaux lourds, le port répété de lourdes charges et les mouvements répétés avec le membre supérieur droit. Aussi les griefs de l'assuré doivent-ils être rejetés.</w:t>
      </w:r>
    </w:p>
    <w:p>
      <w:r>
        <w:rPr>
          <w:b/>
        </w:rPr>
        <w:t>E. 6</w:t>
      </w:r>
    </w:p>
    <w:p>
      <w:r>
        <w:t>Cela étant, même si le recourant ne le soulève pas expressément, la comparaison des revenus à laquelle a procédé l'autorité précédente pour évaluer l'invalidité à 27 % est discutable à plusieurs titres. Ainsi, si le recours aux statistiques n'est pas critiquable en l'espèce (ATF 137 V 20, 110 V 273 ; TF 9C_311/2009 du 2 décembre 2009), on comprend mal pourquoi l'OAIE a renoncé à indexer le salaire tiré de l'ESS 2012 jusqu'à la décision de révision en 2016. Selon la jurisprudence en effet, doivent être prises en compte les modifications des revenus avec et sans invalidité susceptibles d'influencer le droit à la rente survenues jusqu'au moment où la décision est rendue (ATF 129 V 222, 128 V 174). Par ailleurs, pour évaluer le revenu d'invalide, il s'agit de se fonder sur la valeur médiane du tableau statistique considéré, à l'exclusion d'une valeur moyenne de plusieurs branches (TF 8C_192/2013 du 13 août 2013, consid. 7.2 ; TF 8C_370/2013 du 23 octobre 2013, consid. 4.2.2). Ces considérations restent toutefois sans incidence sur l'issue du litige. En effet, pour évaluer le revenu d'invalide, il s'agit de retenir un revenu mensuel de 5'340 fr. fondé sur le tableau TA1_skill_level, niveau de compétences 1, des ESS 2016. Cette statistique recouvre en effet un large éventail d'activités variées et non qualifiées, dont un nombre significatif est adapté aux handicaps du recourant et accessible sans formation professionnelle autre qu'une mise au courant initiale (p. ex. arrêt 8C_227/2018 du 14 juin 2018 consid. 4.2.3.3). Après avoir adapté le salaire statistique à la durée hebdomadaire normale de travail (41,7 heures ; cf. OFS, Durée normale du travail dans les entreprises selon la division économique, tous les secteurs) et à l'évolution des salaires de 2016 à 2017 (0.4 % ; cf. OFS, T39 Evolution des salaires nominaux, des prix à la consommation et des salaires réels, femmes), on obtient un salaire de 5'589 fr. 20, sur lequel il y a lieu de procéder à un abattement de 10 %, comme l'a retenu l'autorité précédente (TF 8C_800/2015 du 7 juillet 2016, consid. 3.4). Le revenu d'invalide s'élève ainsi à 5'030 fr. 30. Comparé au revenu sans invalidité de 6'132 fr. 70 (ESS 2016, TA1_skill_level, lignes 41-43, soit 5'911 fr. compte tenu d'un horaire hebdomadaire usuel de 41.5 et de l'évolution du salaire 2016-2017), il en résulte une invalidité de 19 % qui n'ouvre pas le droit à une rente d'invalidité.</w:t>
      </w:r>
    </w:p>
    <w:p>
      <w:r>
        <w:rPr>
          <w:b/>
        </w:rPr>
        <w:t>E. 7</w:t>
      </w:r>
    </w:p>
    <w:p>
      <w:r>
        <w:t>Il suit de ce qui précède que l'autorité précédente était fondée à supprimer la rente d'invalidité de l'assuré à partir du 1er décembre 2017 (art. 88 bis al. 2 RAI). Partant, le recours de l'assuré est mal fondé et doit être rejeté.</w:t>
      </w:r>
    </w:p>
    <w:p>
      <w:r>
        <w:rPr>
          <w:b/>
        </w:rPr>
        <w:t>E. 8.1</w:t>
      </w:r>
    </w:p>
    <w:p>
      <w:r>
        <w:t>En règle générale, les frais de procédure comprennent devant le Tribunal de céans l'émolument judiciaire et les débours, et sont mis dans le dispositif à la charge de la partie qui succombe (art. 63 al. 1 PA, applicable par renvoi de l'art. 37 LTAF ; art. 1 du règlement du 21 février 2008 concernant les frais, dépens et indemnités fixés par le Tribunal administratif fédéral [FITAF, RS 173.320.2]). Vu l'issue du litige, les frais de procédure sont fixés à Fr. 800.- et mis à la charge du recourant. Ils sont compensés par l'avance de frais versée par le recourant (cf. TAF pces 3 à 5).</w:t>
      </w:r>
    </w:p>
    <w:p>
      <w:r>
        <w:rPr>
          <w:b/>
        </w:rPr>
        <w:t>E. 8.2</w:t>
      </w:r>
    </w:p>
    <w:p>
      <w:r>
        <w:t>Conformément à l'art. 7 al. 1 a contrario du FITAF, la partie qui succombe n'a pas droit aux dépens pour les frais nécessaires causés par le litige. Vu l'issue du litige, il n'est pas alloué d'indemnité à titre de dépens au recourant. L'autorité inférieure n'a pas non plus droit à une indemnité de dépens en sa qualité d'autorité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