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C-6368/2010 vom 29. März 2012</w:t>
      </w:r>
    </w:p>
    <w:p>
      <w:r>
        <w:t>Bundesverwaltungsgericht, 2012-03-29, FR</w:t>
      </w:r>
    </w:p>
    <w:p>
      <w:r>
        <w:rPr>
          <w:b/>
        </w:rPr>
        <w:t xml:space="preserve">Quelle: </w:t>
      </w:r>
      <w:r>
        <w:t>https://mcp.opencaselaw.ch/entscheid/bvger_C-6368_2010</w:t>
      </w:r>
    </w:p>
    <w:p>
      <w:r>
        <w:t>FR: TAF C-6368/2010 du 29 mars 2012</w:t>
      </w:r>
    </w:p>
    <w:p>
      <w:r>
        <w:t>IT: TAF C-6368/2010 del 29 marzo 2012</w:t>
      </w:r>
    </w:p>
    <w:p>
      <w:pPr>
        <w:pStyle w:val="Heading2"/>
      </w:pPr>
      <w:r>
        <w:t>Regeste</w:t>
      </w:r>
    </w:p>
    <w:p>
      <w:r>
        <w:t>Révision de la rente</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C'est donc en application de la législation que l'OCAI-GE a traité la demande de prestations de l'assuré et que l'OAIE lui a notifié la décision contre laquelle il a recouru.</w:t>
      </w:r>
    </w:p>
    <w:p>
      <w:r>
        <w:rPr>
          <w:b/>
        </w:rPr>
        <w:t>E. 1.2</w:t>
      </w:r>
    </w:p>
    <w:p>
      <w:r>
        <w:t>Sous réserve des exceptions prévues à l'art. 32 LTAF,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2.1</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2.2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2.3</w:t>
      </w:r>
    </w:p>
    <w:p>
      <w:r>
        <w:t>Pour le surplus, déposé en temps utile et dans les formes requises par la loi (art. 60 LPGA et 52 PA), le recours est donc recevable quant à la forme.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4.1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4.2</w:t>
      </w:r>
    </w:p>
    <w:p>
      <w:r>
        <w:t>L'art. 80a LAI rend expressément applicables dans la présente cause, s'agissant d'un ressortissant de l'Union européenne, l'ALCP et les Règlements (CEE) n° 1408/71 du Conseil du 14 juin 1971 et (CEE) n°574/72 du Conseil du 21 mars 1972 relativement à l'application du Règlement (CEE) n° 1408/71.</w:t>
      </w:r>
    </w:p>
    <w:p>
      <w:r>
        <w:rPr>
          <w:b/>
        </w:rPr>
        <w:t>E. 5.1</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La décision litigieuse étant datée du 7 juillet 2010, les dispositions de la 5ème révision de la LAI entrées en vigueur le 1er janvier 2008 (RO 2007 5129) sont applicables à la présente cause.</w:t>
      </w:r>
    </w:p>
    <w:p>
      <w:r>
        <w:rPr>
          <w:b/>
        </w:rPr>
        <w:t>E. 5.2</w:t>
      </w:r>
    </w:p>
    <w:p>
      <w:r>
        <w:t>En ce qui concerne les faits déterminants, selon la jurisprudence, le Tribunal de céans doit se limiter à examiner la situation de fait existant jusqu'à la date de la décision attaquée (ATF 130 V 445 consid. 1.2). Dans ce contexte, il convient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Toutefois,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6.2</w:t>
      </w:r>
    </w:p>
    <w:p>
      <w:r>
        <w:t>Aux termes de l'art. 28 al. 2 LAI, l'assuré a droit à un quart de rente s'il est invalide à 40 % au moins, à une demi-rente s'il est invalide à 50% au moins, à trois quarts de rente s'il est invalide à 60 % au moins et à une rente entière s'il est invalide à 70 % au moins. Toutefois, les rentes correspondant à un degré d'invalidité inférieur à 50 %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 au moins, ont droit à un quart de rente en application de l'art. 28 al. 2 LAI s'ils ont leur domicile et leur résidence habituelle dans un Etat membre.</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w:t>
      </w:r>
    </w:p>
    <w:p>
      <w:r>
        <w:t>Le litige porte sur la question de savoir si l'OAIE était fondé, par sa décision du 7 juillet 2010 (OCAI pce 151), à supprimer la rente entière d'invalidité dont bénéficiait le recourant depuis le 1er mars 2005 (OCAI pce 117) au motif d'une amélioration manifeste de son état de santé.</w:t>
      </w:r>
    </w:p>
    <w:p>
      <w:r>
        <w:rPr>
          <w:b/>
        </w:rPr>
        <w:t>E. 9.1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9.2</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10</w:t>
      </w:r>
    </w:p>
    <w:p>
      <w:r>
        <w:t>À titre préliminaire, il convient de déterminer les moments décisifs pour juger de l'évolution de l'état de santé de l'assurée dans la présente affaire.</w:t>
      </w:r>
    </w:p>
    <w:p>
      <w:r>
        <w:rPr>
          <w:b/>
        </w:rPr>
        <w:t>E. 10.1</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que, 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 il se fondait sur une instruction correspondant aux exigences jurisprudentielles en la matière (arrêt du Tribunal fédéral 9C_882/2010 du 25 janvier 2011 consid. 3).</w:t>
      </w:r>
    </w:p>
    <w:p>
      <w:r>
        <w:rPr>
          <w:b/>
        </w:rPr>
        <w:t>E. 10.2</w:t>
      </w:r>
    </w:p>
    <w:p>
      <w:r>
        <w:t>En l'espèce, le recourant a subi une invalidité totale du 1er septembre 1993 au 31 mai 1995 suite à un blocage lombaire important ayant nécessité une nucléorthèse et une nucléotomie percutanée. Par décision du 3 octobre 1995 (OCAI pces 25 et 26), l'intéressé est ainsi mis au bénéfice d'une rente entière jusqu'au 31 mai 1995, puis d'une demi-rente dès le 1er juin 1995. Cette décision a été reconduite par communications des 7 mai 1996, 16 juillet 1997, 17 août 1999 et 5 mars 2002, les quatre fois sans qu'il soit procédé à un examen matériel approfondi, le droit de l'assuré à une demi-rente d'invalidité ayant été maintenu sur la base de rapports intermédiaires de son médecin traitant. Par décision du 8 août 2005, au terme d'une nouvelle procédure de révision d'office contenant un examen matériel complet de la cause, l'OAIE remplace la demi-rente d'invalidité de l'assuré par une rente entière depuis le 1er mars 2005, sur la base de plusieurs certificats médicaux du médecin traitant de l'assuré, le Dr B.________, et d'une expertise rhumatologique du Dr E.________ daté du 10 juin 2005 (cf. let. D).</w:t>
      </w:r>
    </w:p>
    <w:p>
      <w:r>
        <w:rPr>
          <w:b/>
        </w:rPr>
        <w:t>E. 10.3</w:t>
      </w:r>
    </w:p>
    <w:p>
      <w:r>
        <w:t>Ainsi, le Tribunal constate que la question de savoir si le degré d'invalidité du recourant a subi une modification doit être jugée en comparant les faits tels qu'ils se présentaient le 8 août 2005 et ceux existant à la date de la décision litigieuse du 7 juillet 2010.</w:t>
      </w:r>
    </w:p>
    <w:p>
      <w:r>
        <w:rPr>
          <w:b/>
        </w:rPr>
        <w:t>E. 11</w:t>
      </w:r>
    </w:p>
    <w:p>
      <w:r>
        <w:t>Il convient ensuite d'examiner si l'administration a agi de façon conforme au droit en supprimant la rente de l'assuré par voie de révision avec effet au 1er mars 2005, au motif d'une amélioration de son état de santé.</w:t>
      </w:r>
    </w:p>
    <w:p>
      <w:r>
        <w:rPr>
          <w:b/>
        </w:rPr>
        <w:t>E. 11.1</w:t>
      </w:r>
    </w:p>
    <w:p>
      <w:r>
        <w:t>La présence d'un motif de révision suppose une modification notable du taux d'invalidité.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La réglementation sur la révision ne saurait en effet constituer un fondement juridique à un réexamen sans condition du droit à la rente (cf. par exemple arrêt du Tribunal fédéral I 755/04 du 25 septembre 2006 consid. 5.1 et les références citées).</w:t>
      </w:r>
    </w:p>
    <w:p>
      <w:r>
        <w:rPr>
          <w:b/>
        </w:rPr>
        <w:t>E. 11.2</w:t>
      </w:r>
    </w:p>
    <w:p>
      <w:r>
        <w:t>Selon une jurisprudence constante, le fait que les diagnostics retenus soient restés identiques n'exclut pas a priori une augmentation significative des ressources du recourant en terme de capacité de travail et partant un changement notable de l'état des faits dans le sens de l'art. 17 LPGA. Tel est notamment le cas lorsque l'intensité de l'affection s'est résorbée ou lorsque l'assuré a réussi à mieux s'adapter à son atteinte. La question de savoir si un tel changement s'est effectivement produit ou si l'on se trouve en présence d'une nouvelle appréciation d'un même état de fait qui ne saurait être pertinent en matière du droit de la révision nécessite un examen approfondi, également compte tenu des conséquences non négligeables sur la situation juridique de l'assuré (arrêts du Tribunal fédéral 9C_88/2010 du 4 mai 2010 consid. 2.2.2; 8C_761/2010 du 1er mars 2011 consid. 2.2.2; en rapport avec les troubles somatoformes cf. arrêts du Tribunal fédéral 9C_621/2010 du 22 décembre 2010 consid. 2.2.3; I 8/04 du 12 octobre 2005 consid. 2.2 s.; A. Brunner, N. Birkhäuser, somatoforme Schmerzstörung - Gedanken zur Rechtsprechung und deren Folgen für die Praxis, insbesondere mit Blick auf die Rentenrevision, in: BJM 2007 p. 193).</w:t>
      </w:r>
    </w:p>
    <w:p>
      <w:r>
        <w:rPr>
          <w:b/>
        </w:rPr>
        <w:t>E. 11.3</w:t>
      </w:r>
    </w:p>
    <w:p>
      <w:r>
        <w:t>En l'occurrence, il ressort de manière constante des pièces médicales au dossier que l'assuré souffre depuis 1992 de dorso-lombalgies chroniques persistantes de type mécanique avec irradiations mal systématisées dans les membres inférieurs, en relation avec une discopathie L4-L5 protusive, une petite hernie discale L4-L5 postérieure un peu latéralisée à gauche, ainsi que de discrète arthrose inter-apophysaire postérieure étagée. En outre, l'intéressé subit régulièrement des épisodes aigus de dorso-lombalgies entraînant des interruptions de travail fréquentes. Tous les médecins sont unanimes sur le fait que l'assuré est incapable de travailler en tant qu'électricien en raison de ses lombalgies. En effet, les travaux parfois lourds qui lui sont demandés ne sont pas adaptés à ses limitations fonctionnelles et entraînent des épisodes de lombalgies aigus avec des conséquences importantes sur sa capacité de travail.</w:t>
      </w:r>
    </w:p>
    <w:p>
      <w:r>
        <w:rPr>
          <w:b/>
        </w:rPr>
        <w:t>E. 11.4</w:t>
      </w:r>
    </w:p>
    <w:p>
      <w:r>
        <w:t>Lors de la dernière révision, l'assuré est mis au bénéfice d'une rente entière d'invalidité en raison d'une aggravation de son état de santé due à un épisode subaigu de lombalgies suite à des efforts inadaptés sur son lieu de travail. Le Dr E.________, expert rhumatologique, déclare l'intéressé totalement incapable de travailler en raison de ses limitations fonctionnelles, à savoir que celui-ci ne peut pas rester assis plus de 10 minutes, marcher plus de 20 minutes, se pencher en avant ou porter des charges de plus de 3 à 5 kg. Il mentionne toutefois qu'une évolution favorable devrait intervenir dans les prochains mois (expertise du 10 juin 2005; OCAI pces 105 et 106).</w:t>
      </w:r>
    </w:p>
    <w:p>
      <w:r>
        <w:rPr>
          <w:b/>
        </w:rPr>
        <w:t>E. 12.1</w:t>
      </w:r>
    </w:p>
    <w:p>
      <w:r>
        <w:t>Dans le cadre de la procédure de révision initiée en 2008, qui a donné lieu à la décision litigieuse, l'OAIE a fait procéder à une nouvelle expertise par le Dr E.________ qui conclut que, bien que le diagnostic déjà posé soit resté identique, l'assuré présente une amélioration significative sur le plan fonctionnel, à savoir qu'il montre une extension peu douloureuse, une meilleure mobilité, une plus longue capacité à la marche (cf. supra let. F; OCAI pce 133). Il mentionne un déconditionnement psychophysique, ainsi qu'un état d'invalidité installé et déclare l'intéressé apte à travailler 3 heures par jour dans une activité adaptée, bien qu'il soit incapable de travailler comme électricien.</w:t>
      </w:r>
    </w:p>
    <w:p>
      <w:r>
        <w:rPr>
          <w:b/>
        </w:rPr>
        <w:t>E. 12.2</w:t>
      </w:r>
    </w:p>
    <w:p>
      <w:r>
        <w:t>Toutefois, estimant cette expertise peu convaincante et eu égard à la discordance entre l'importance du handicap douloureux et l'examen clinique, l'autorité inférieure demande une seconde expertise SMR rhumato-psychiatrique (OCAI pce 137). Les experts rejoignant en grande partie l'expertise du Dr E.________, retiennent un diagnostic identique, excluant également des troubles psychiques ou un syndrome somatoforme douloureux, et constatent une amélioration du point de vue fonctionnel. Par contre, ils estiment que l'assuré, n'ayant pas subi de blocage lombaire durant l'année écoulée, a retrouvé une capacité de travail de 50% dès le 16 octobre 2008 dans des activités adaptées, et de 80% après une reconditionnement au travail. L'OAIE, reprenant les conclusions des médecins SMR (OCAI pce 137), retient que l'assuré a retrouvé une capacité de travail de 50% depuis le 16 octobre 2008 et de 80% dès le 1er mai 2009 et présente ainsi un taux d'invalidité de 22,2%.</w:t>
      </w:r>
    </w:p>
    <w:p>
      <w:r>
        <w:rPr>
          <w:b/>
        </w:rPr>
        <w:t>E. 12.3</w:t>
      </w:r>
    </w:p>
    <w:p>
      <w:r>
        <w:t>Quant au recourant, il conteste que son état de santé se soit amélioré au point de pouvoir reprendre une activité à 80% et estime qu'il pourrait éventuellement reprendre une activité à 50% si un poste adapté à son handicap lui était proposé suite à des mesures de réadaptation. Il déclare être dans l'impossibilité de rester assis ou debout trop longtemps et devoir changer de position toutes les quinze minutes. Il produit plusieurs certificats médicaux de son médecin traitant, le Dr B.________, dont il ressort que son état est resté au mieux stationnaire depuis la dernière révision, voire qu'il s'est aggravé. Il ressort notamment que l'intéressé a présenté un nouvel épisode hyperalgique en mars 2010 après avoir fait de légers travaux de jardinage. Le Dr B.________ estime notamment dans un certificat médical du 16 août 2010 que l'assuré est totalement incapable de travailler dans son activité habituelle et pourrait éventuellement reprendre progressivement une activité adaptée à ses limitations fonctionnelle (OCAI pces 140 et 146; TAF pce 1, PJ 14 et 15). Par ailleurs, le recourant verse encore en cause une expertise privée du 18 août 2010 (TAF pce 1, PJ 13), établie par le Dr L.________, qui estime que l'assuré est totalement incapable de travailler dans des activités manuelles lourdes, mais reste apte à réaliser un travail adapté à l'état de son rachis lombaire. Il considère qu'une telle activité est exigible à 50% d'un point de vue médico-social, eu égard notamment à son âge (50 ans). A ce propos, le Tribunal mentionne que, bien que postérieurs à la décision entreprise, les rapports médicaux des 22 juillet 2010 et 16 août 2010 du Dr B.________, ainsi que l'expertise privée du 18 août 2010 du Dr L.________ doivent être pris en considération pour des raisons d'économie de procédure, eu égard au fait qu'ils sont établis de manière suffisamment précise et qu'ils servent à la constatation rétrospective de la situation antérieure à la décision (cf. supra consid. 5.2; ATF 130 V 138 consid. 2.1 et réf. cit.).</w:t>
      </w:r>
    </w:p>
    <w:p>
      <w:r>
        <w:rPr>
          <w:b/>
        </w:rPr>
        <w:t>E. 13.1</w:t>
      </w:r>
    </w:p>
    <w:p>
      <w:r>
        <w:t>Au vu de ce qui précède, il sied de relever que l'assuré présente sans conteste une amélioration notable de son état de santé du point de vue fonctionnel, permettant la révision de son droit à une rente d'invalidité (cf. supra consid. 11.2). En effet, tous les médecins consultés et le recourant lui-même, dans son mémoire de recours (page 5) reconnaissent que ce dernier serait sûrement apte à reprendre une activité adaptée à ses limitations fonctionnelles au minimum à 50%. Les experts SMR estiment par ailleurs qu'après une période de six mois de reconditionnement au travail, l'assuré retrouverait même une capacité de travail de 80% dans des activités adaptées. Cette approche n'est pas suivie par le Dr E.________, expert rhumatologue, qui considère que l'assuré est apte à reprendre une activité adaptée à 30% d'un point de vue purement médical, bien que ces mesures puissent être difficiles à mettre en pratique en raison d'un déconditionnement psychophysique et d'un état d'invalidité probablement installé. Le service SMR a certes considéré que les conclusions de l'expertise, n'étant pas clairement expliquées par les observations cliniques, n'étaient pas convaincantes, cependant, le Tribunal de céans relève que les experts SMR reprennent presque entièrement les conclusions du Dr E.________ (amélioration fonctionnelle, signe de non-organicité de Wadell, déconditionnement au travail, état d'invalidité installé et kinésiophobie), bien qu'ils fassent une appréciation différente des conséquences du déconditionnement au travail de l'assuré sur sa capacité résiduelle de travail. On ne saurait dès lors dénier toute valeur probante à l'expertise du Dr E.________, qui remplit également les conditions jurisprudentielles en la matière (cf. supra consid. 7.3).</w:t>
      </w:r>
    </w:p>
    <w:p>
      <w:r>
        <w:rPr>
          <w:b/>
        </w:rPr>
        <w:t>E. 13.2</w:t>
      </w:r>
    </w:p>
    <w:p>
      <w:r>
        <w:t>Par ailleurs, contrairement aux experts SMR ayant estimé que le recourant n'a pas présenté de gros blocages lombaires durant l'année 2010 (OCAI pce 137, page 8), le Dr B.________, en tant que médecin traitant, signale chez l'assuré la présence de douleurs lombaires aiguës régulières, dont le dernier épisode hyperalgique, intervenu en mars 2010, après avoir ratissé des graviers pendant une heure, a duré dix jours et a nécessité la prise de morphine. Le Dr B.________ considère ainsi que l'état de santé de A.________ ne s'est pas amélioré et indique en outre avoir dû augmenter la posologie du traitement médicamenteux de celui-ci (TAF pce 1, PJ 14). Le médecin n'exclut toutefois pas une reprise progressive du travail dans une activité adaptée à ses limitations fonctionnelles (TAF pce 1, PJ 15). Quant à l'expert privé mandaté par le recourant, le Dr L.________, il considère dans un rapport complet et bien étayé que l'assuré, âgé de 50 ans, est apte à travailler à 50% dans une activité adaptée d'un point de vue médico-social, signalant que son état de santé ne semble pas différent de l'époque où celui-ci recevait une demi-rente d'invalidité.</w:t>
      </w:r>
    </w:p>
    <w:p>
      <w:r>
        <w:rPr>
          <w:b/>
        </w:rPr>
        <w:t>E. 13.3</w:t>
      </w:r>
    </w:p>
    <w:p>
      <w:r>
        <w:t>Dès lors, au vu des divergences qui subsistent entre les différents experts concernant le taux d'activité exigible en l'espèce, le Tribunal ne saurait privilégier l'une ou l'autre appréciation et considère qu'une expertise complémentaire, conduite par un nouvel expert en rhumatologie est nécessaire afin de clarifier le taux de capacité de travail de l'assuré dans des activités adaptées suite à l'amélioration de son état de santé d'un point de vue fonctionnel.</w:t>
      </w:r>
    </w:p>
    <w:p>
      <w:r>
        <w:rPr>
          <w:b/>
        </w:rPr>
        <w:t>E. 14</w:t>
      </w:r>
    </w:p>
    <w:p>
      <w:r>
        <w:t>Partant, le Tribunal, faisant droit à la conclusion préalable du recourant, admet partiellement le recours et annule la décision litigieuse. S'agissant d'élucider une question nécessaire non réglée (ATF 137 V 210, consid. 4.4.1.4), la cause peut être renvoyée à l'autorité inférieure afin qu'elle procède à une instruction complémentaire au sens de l'art. 61 PA et prenne ensuite une nouvelle décision (ATF 137 V 219, consid. 4.4.1.4). Un troisième expert en rhumatologie se déterminera uniquement sur l'étendue de la capacité de travail du recourant dans des activités adaptées suite à l'amélioration de son état de santé, notamment en se prononçant précisément sur l'étendue du déconditionnement au travail de l'intéressé et sur son influence sur sa capacité de travail résiduelle.</w:t>
      </w:r>
    </w:p>
    <w:p>
      <w:r>
        <w:rPr>
          <w:b/>
        </w:rPr>
        <w:t>E. 15</w:t>
      </w:r>
    </w:p>
    <w:p>
      <w:r>
        <w:t>Selon la jurisprudence, la partie qui a formé recours est réputée avoir obtenu gain de cause lorsque l'affaire est renvoyée à l'administration pour instruction complémentaire et nouvelle décision (ATF 132 V 215 consid. 6.2.). Il n'est pas perçu de frais de procédure (art. 63 al. 2 PA, applicable par renvoi de l'art. 37 LTAF). L'avance de frais de Fr. 400.--, versée le 17 décembre 2010 par le recourant sera remboursée à ce dernier dès l'entrée en force du présent arrêt. L'art. 7 al. 1 du règlement du 21 février 2008 concernant les frais, dépens et indemnités fixés par le Tribunal administratif fédéral (FITAF, RS 173.320.2) permet cependant au Tribunal d'allouer à la partie ayant obtenu gain de cause une indemnité pour les frais nécessaires causés par le litige. En l'espèce, le recourant, qui n'est pas représenté, n'a pas fait valoir de frais indispensables et relativement élevés, de sorte qu'il ne lui est pas attribué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