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C-6364/2009 vom 6. Juni 2011</w:t>
      </w:r>
    </w:p>
    <w:p>
      <w:r>
        <w:t>Bundesverwaltungsgericht, 2011-06-06, DE</w:t>
      </w:r>
    </w:p>
    <w:p>
      <w:r>
        <w:rPr>
          <w:b/>
        </w:rPr>
        <w:t xml:space="preserve">Quelle: </w:t>
      </w:r>
      <w:r>
        <w:t>https://mcp.opencaselaw.ch/entscheid/bvger_C-6364_2009</w:t>
      </w:r>
    </w:p>
    <w:p>
      <w:r>
        <w:t>FR: TAF C-6364/2009 du 6 juin 2011</w:t>
      </w:r>
    </w:p>
    <w:p>
      <w:r>
        <w:t>IT: TAF C-6364/2009 del 6 giugno 2011</w:t>
      </w:r>
    </w:p>
    <w:p>
      <w:pPr>
        <w:pStyle w:val="Heading2"/>
      </w:pPr>
      <w:r>
        <w:t>Regeste</w:t>
      </w:r>
    </w:p>
    <w:p>
      <w:r>
        <w:t>Schengen-Visum</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mit denen die Erteilung eines Schengenvisums zu Besuchszwecken verweigert wird. In dieser Materie entscheidet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Die Beschwerdeführer sind gemäss Art. 48 Abs. 1 VwVG zur Be­schwerde berechtigt. Auf die frist- und formgerecht eingereichten Rechts­mittel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Der angefochtenen Verfügung liegt das Gesuch des Beschwerdeführers um Erteilung eines Visums für einen einmonatigen Aufenthalt in der Schweiz zu Grunde. Da der Beschwerdeführer nicht zu den Personen ge­hört, denen das Abkommen vom 21. Juni 1999 zwischen der Schweizeri­schen Eidgenossenschaft einerseits und der Europäischen Gemeinschaft und ihren Mitgliedstaaten andererseits über die Freizügigkeit (nachfol­gend: FZA, SR 0.142.112.681) oder das Abkommen zur Änderung des Übereinkommens zur Errichtung der Europäischen Freihandelsassozia­tion vom 21. Juni 2001 (SR 0.632.31) ein Recht auf Personenfreizügigkeit vermittelt und der beabsichtigte Aufenthalt drei Monate nicht übersteigt, fällt die vorliegende Streitsache in den Anwendungsbereich der Schen­gen-Assoziierungsabkommen. Mit diesen Abkommen hat die Schweiz den Schengen-Besitzstand und die dazugehörenden gemeinschaftsrechtli­chen Rechtsakte (Schengen-Recht) übernommen. Das Schengen-Recht geht dem Bundesgesetz vom 16. Dezember 2005 über die Ausländerinnen und Ausländer (AuG, SR 142.20) und sei­nen Aus­führungsverordnun­gen vor (Art. 2 Abs. 2 bis 5 AuG).</w:t>
      </w:r>
    </w:p>
    <w:p>
      <w:r>
        <w:rPr>
          <w:b/>
        </w:rPr>
        <w:t>E. 4</w:t>
      </w:r>
    </w:p>
    <w:p>
      <w:r>
        <w:t>Die Voraussetzungen für die Erteilung eines Visums präsentieren sich im Anwendungsbereich des Schengen-Rechts wie folgt:</w:t>
      </w:r>
    </w:p>
    <w:p>
      <w:r>
        <w:rPr>
          <w:b/>
        </w:rPr>
        <w:t>E. 4.1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 Das Schengen-Recht schränkt die nationalstaatlichen Befugnisse insoweit ein, als es einheitli­che Voraussetzungen für Einreise und Visum aufstellt und die Mit­gliedstaa­ten verpflichtet, die Einreise und das Visum zu verweigern, wenn die Voraussetzungen nicht erfüllt sind. Einen Anspruch auf Einreise und Vi­sum vermittelt auch das Schengen-Recht nicht (a.M. Philipp Egli / To­bias D. Meyer, in: Martina Caroni / Thomas Gächter / Daniela Thurnherr [Hrsg.], Stämpflis Handkommentar zum Bundesgesetz über die Ausländerin­nen und Ausländer, Bern 2010, Art. 5 N. 3 f.).</w:t>
      </w:r>
    </w:p>
    <w:p>
      <w:r>
        <w:rPr>
          <w:b/>
        </w:rPr>
        <w:t>E. 4.2</w:t>
      </w:r>
    </w:p>
    <w:p>
      <w:r>
        <w:t>Angehörige von Drittstaaten dürfen über die Aussengrenzen des Schen­gen-Raums für einen Aufenthalt von höchstens drei Monaten je Sechsmonatszeitraums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(nachfolgend: Verordnung (EG) Nr. 539/2001 des Rates),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[Schengener Grenzkodex, SGK], Art. 4 VEV).</w:t>
      </w:r>
    </w:p>
    <w:p>
      <w:r>
        <w:rPr>
          <w:b/>
        </w:rPr>
        <w:t>E. 4.3</w:t>
      </w:r>
    </w:p>
    <w:p>
      <w:r>
        <w:t>Im Weiteren setzt die rechtmässige Einreise von Drittstaatsangehöri­gen voraus, dass sie den Zweck und die Umstände ihres beabsichtigten Aufenthalts belegen und hierfür über ausreichende finanzielle Mittel verfü­gen (Art. 5 Abs. 1 Bst. b AuG, Art. 2 Abs. 1 VEV, Art. 5 Abs. 1 Bst. c und Abs. 3 SGK, Art. 14 Abs. 1 Bst. a-c der Verordnung (EG) Nr. 810/2009 des Europäischen Parla­ments und des Rates vom 13. Juli 20092 über ei­nen Visakodex der Gemeinschaft [Visakodex, VK]).</w:t>
      </w:r>
    </w:p>
    <w:p>
      <w:r>
        <w:rPr>
          <w:b/>
        </w:rPr>
        <w:t>E. 4.4</w:t>
      </w:r>
    </w:p>
    <w:p>
      <w:r>
        <w:t>Sodann dürfen Drittstaatsangehörige nicht im Schen­gener Infor­mations­system (SIS) zur Einreiseverweigerung ausgeschrieben sein (Art. 2 Abs. 1 VEV, Art. 5 Abs. 1 Bst. d SGK). Sie dürfen keine Gefahr für die öf­fentliche Ordnung, die innere Sicherheit, die öffentliche Gesundheit oder die internationalen Beziehungen eines Mitgliedstaats darstellen. Ins­besondere dürfen sie nicht in den nationalen Datenbanken der Mitglied­staaten zur Einreiseverweigerung aus denselben Gründen ausge­schrie­ben worden sein (Art. 5 Abs. 1 Bst. c und d AuG, Art. 2 Abs. 1 VEV, Art. 5 Abs. 1 Bst. e SGK).</w:t>
      </w:r>
    </w:p>
    <w:p>
      <w:r>
        <w:rPr>
          <w:b/>
        </w:rPr>
        <w:t>E. 4.5</w:t>
      </w:r>
    </w:p>
    <w:p>
      <w:r>
        <w:t>Eine Gefahr für öffentliche Ordnung im Sinne von Art. 5 Abs. 1 Bst. e SGK ist auch dann anzunehmen, wenn die drittstaatsangehörige Person nicht bereit ist, das Hoheitsgebiet des Schengen-Raums fristgerecht zu ver­lassen (vgl. dazu Philipp Egli / Tobias D. 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VK). Die Gewähr der gesicherten Wiederausreise, wie sie Art. 5 Abs. 2 AuG verlangt, wenn nur ein vorübergehender Aufenthalt vorgesehen ist, steht mit dieser Rege­lung im Einklang (vgl. BVGE 2009/27 E. 5 mit Hervorhebung des Zu­sammenhangs zum Einreiseerfordernis des belegten Aufenthalts­zwecks nach Art. 5 Abs. 1 Bst. c SGK).</w:t>
      </w:r>
    </w:p>
    <w:p>
      <w:r>
        <w:rPr>
          <w:b/>
        </w:rPr>
        <w:t>E. 4.6</w:t>
      </w:r>
    </w:p>
    <w:p>
      <w:r>
        <w:t>Sind die vorerwähnten allgemeinen Voraussetzungen für eine rechtmäs­sige Einreise - Visum ausgenommen - nicht erfüllt, darf ein für den gesamten Schengen-Raum geltendes "einheitliches Visum" nicht er­teilt werden (Art. 12 VEV, Art. 32 VK, zum Begriff des "einheitlichen Vi­sums" vgl. Art. 2 Ziff. 3 VK).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(zum Begriff vgl. Art. 2 Ziff. 4 VK) zu ertei­len. Dieses Visum ist grundsätzlich nur für das Hoheitsgebiet des aus­stellenden Staates gültig (Art. 12 Abs. 1 i.V.m. Art. 2 Abs. 4 VEV, Art. 32 Abs. 1 i.V.m. Art. 25 Abs. 1 Bst. a Ziff. i und Abs. 2 VK; unter den­sel­ben Voraussetzungen sind die Mitgliedstaaten berechtigt, einer drittstaatsan­gehörigen Person die Einreise an den Aussengrenzen zu ges­tatten, vgl. Art. 2 Abs. 4 VEV und Art. 5 Abs. 4 Bst. c SGK).</w:t>
      </w:r>
    </w:p>
    <w:p>
      <w:r>
        <w:rPr>
          <w:b/>
        </w:rPr>
        <w:t>E. 5</w:t>
      </w:r>
    </w:p>
    <w:p>
      <w:r>
        <w:t>Der Beschwerdeführer, der als Staatsangehöriger von Guinea der Visum­pflicht untersteht (Anhang I zur Verordnung (EG) Nr. 539/2001 des Rates vom 15. März 2001), erfüllt die allgemeinen Einreisevoraussetzun­gen nicht: Er ist sowohl im SIS als auch in der nationalen Daten­bank der Schweiz zur Einreiseverweigerung ausgeschrieben. Der Anlass für die Ausschrei­bung liegt in einem Verhalten begründet, das deutlich seine fehlende Bereitschaft zum Ausdruck bringt, die schweizerische Rechtsordnung zu respektieren. Auch wenn der Beschwerdeführer im Rahmen des Rechtsmittelverfahrens das Gegenteil beteuert, muss angesichts seiner sich über den gesamten früheren Aufenthalt in der Schweiz erstreckenden Delinquenz von einer anhaltenden Gefahr für die öffentliche Sicherheit und Ordnung ausgegangen werden. Der Einreise des Beschwerdeführers steht somit die Nichterfüllung der allgemeinen Einreisevoraussetzungen nach Art. 5 Abs. 1 Bst. d und e SGK entgegen. Im Sinne eines weiteren Teilaspekts der öffentlichen Ordnung nach Art. 5 Abs. 1 Bst. e SGK steht der Einreise des Beschwerdeführers entgegen, dass aufgrund der Situation in seinem Herkunftsland (das zu den weltweit ärmsten Staaten gehört und eine sehr schlechte Menschenrechtsbilanz vorzuweisen hat, vgl. dazu Webseite des Deutschen Auswärtigen Amtes, www.auswaertiges-amt.de &gt; Reise &amp; Sicherheit &gt; Länder, Reise, Sicher­heit &gt; Guinea &gt; Wirtschaft und Innenpolitik, Stand je Februar 2011, be­sucht im Juni 2011), seines aktenkundig schlechten ausländerrechtlichen Leumunds und des Fehlens tragfähiger Indizien für eine Stabilisierung seiner Lebensumstände die Gefahr einer nicht fristgerechten Ausreise als sehr hoch eingestuft werden muss. Die Erteilung eines einheitlichen Visums an den Beschwerdeführer kommt deshalb nicht in Betracht (Art. 12 Abs. VEV, Art. 32 Abs. 1 Bst. a Ziff. v und vi und Bst. b VK).</w:t>
      </w:r>
    </w:p>
    <w:p>
      <w:r>
        <w:rPr>
          <w:b/>
        </w:rPr>
        <w:t>E. 6</w:t>
      </w:r>
    </w:p>
    <w:p>
      <w:r>
        <w:t>Es bleibt zu prüfen, ob die Voraussetzungen für ein Visum mit räumlich beschränkter Gültigkeit vorliegen.</w:t>
      </w:r>
    </w:p>
    <w:p>
      <w:r>
        <w:rPr>
          <w:b/>
        </w:rPr>
        <w:t>E. 6.1</w:t>
      </w:r>
    </w:p>
    <w:p>
      <w:r>
        <w:t>Ein Visum mit räumlich beschränkter Gültigkeit kann erteilt werden, wenn ein Mitgliedstaat es aus humanitären Gründen, aus Gründen des nati­onalen Interesses oder aufgrund internationaler Verpflichtungen für erfor­derlich hält, von den allgemeinen Einreisevoraussetzungen des Art. 5 Abs. 1 Bst. a, c ,d und e des Schengener Grenzkodex abzuweichen (Art. 12 Abs. 1 i.V.m. Art. 2 Abs. 4 VEV, Art. 25 Abs. 1 Bst. a Ziff. i VK). In der Re­gel wird der betreffende Mitgliedstaat seinen Entscheid gestützt auf eine Abwägung der sich gegenüberstehenden Interessen fällen, wo­bei er die Voraussetzungen für ein Abweichen von den allgemeinen Einrei­sevor­aussetzungen - wie schon der Wortlaut der Bestimmung zeigt - nicht leicht­hin annehmen darf. In Beachtung des Grundsatzes der loya­len Zu­sammenarbeit, auf dem das Schengen-System beruht (vgl. Urteil des Ge­richtshofs der Europäischen Gemeinschaften [EuGH] vom 31. Ja­nuar 2006 in der Rechtssache C-503/03, Kommission der Europäischen Ge­mein­schaften gegen Königreich Spanien, Randnr. 37 und 56, Slg. 2006 S. I-1097), muss der Mitgliedstaat dem Umstand angemessen Rech­nung tragen, dass sein Entscheid über die Erteilung eines Visums mit räumlich beschränkter Geltung nicht nur eigene Interessen berührt, son­dern infolge des Wegfalles der Personenkontrollen an den Innengren­zen des Schengen-Raums auch die Interessen der übrigen Schengen-Staa­ten beeinträchtigen kann. Insoweit ist jeder Schengen-Staat der Sach­walter der eigenen Interessen und der Interessen aller übrigen Schen­gen-Staaten.</w:t>
      </w:r>
    </w:p>
    <w:p>
      <w:r>
        <w:rPr>
          <w:b/>
        </w:rPr>
        <w:t>E. 6.2</w:t>
      </w:r>
    </w:p>
    <w:p>
      <w:r>
        <w:t>Eine ausländische Person, gegen die - wie im vorliegenden Fall - ein Einreiseverbot nach Art. 67 AuG besteht, darf nur mit Ermächtigung der zuständigen Behörde das schweizerische Staatsgebiet betreten (vgl. Art. 5 Abs. 1 Bst. d AuG, Art. 67 Abs. 5 AuG; vgl. Andreas Zünd / Ladina Arquint Hill in: Peter Uebersax / Beat Rudin / Thomas Hugi Yar / Tho­mas Gei­ser [Hrsg.], Ausländerrecht, Handbücher für die Anwaltspraxis, Band VIII, 2. Aufl., Basel 2009, Rz. 8.82). Die Ermächtigung erfolgt in Ges­talt ei­ner zeitlich begrenzten Aussetzung des Einreiseverbots, der soge­nann­ten Suspension, wenn humanitäre oder andere wichtige Gründe vorliegen (Art. 67 Abs. 5 AuG). Die zur Begründung der Suspension vorge­brachten privaten Interessen müssen umso evidenter sein, je schwe­rer die Um­stände wiegen, die zur Verhängung der Fernhaltemass­nahme geführt ha­ben (vgl. dazu Urteil des Bundesverwaltungsgerichts C-7264/2007 vom 22. April 2008 E. 3.2). Im Anwendungsbereich des Schen­gen-Rechts wird die Suspension des Einreiseverbots nach Art. 67 Abs. 5 AuG von der Möglichkeit gedeckt, einer ausländischen Person, die die allgemeinen Einrei­sevoraussetzungen des Art. 5 Abs. 1 SGK nicht er­füllt, aus humanitä­ren Gründen, Gründen des nationalen Interesses oder in­folge völ­kerrecht­licher Verpflichtungen die Einreise auf das schweizeri­sche Territo­rium zu gestatten (Art. 2 Abs. 4 VEV, Art. 5 Abs. 4 Bst. c SGK) bzw. - falls diese Person der Visumspflicht unterliegt - ihr ein Visum mit räum­lich beschränkter Gültigkeit zu erteilen (Art. 12 Abs. 1 i.V.m. Art. 2 Abs. 4 VEV, Art. 25 Abs. 1 Bst. a Ziff. i VK).</w:t>
      </w:r>
    </w:p>
    <w:p>
      <w:r>
        <w:rPr>
          <w:b/>
        </w:rPr>
        <w:t>E. 6.3</w:t>
      </w:r>
    </w:p>
    <w:p>
      <w:r>
        <w:t>Als zureichender Grund für die Erteilung eines Visums mit räumlich be­schränkter Gültigkeit kommt in der vorliegenden Streitsache das Völker­recht in Gestalt von Art. 8 EMRK in Betracht. Die Beschwerdefüh­rer berufen sich darauf ausdrücklich und machen geltend, die genannte Kon­ventionsnorm vermittle ihnen einen Anspruch auf Verwirklichung ihres Fami­lienlebens in der Schweiz. Umso weniger könne dem Beschwerdefüh­rer ein Besuchsaufenthalt zum Zwecke der Pflege familiä­rer Beziehungen verweigert werden.</w:t>
      </w:r>
    </w:p>
    <w:p>
      <w:r>
        <w:rPr>
          <w:b/>
        </w:rPr>
        <w:t>E. 6.3.1</w:t>
      </w:r>
    </w:p>
    <w:p>
      <w:r>
        <w:t>Art. 8 EMRK und der deckungsgleiche Art. 13 Abs. 1 der Bundesver­fassung der Schweizerischen Eidgenossenschaft vom 18. April 1999 (BV, SR 101) dienen allgemein dem Schutz des Familien- und Privatle­bens. Auf die Teilgarantie des Familienlebens können sich ausländi­sche Personen berufen, die nahe Familienangehörige mit hinrei­chend ge­festigtem Anwesenheitsrecht haben, sofern das Familienleben in­takt ist und gelebt wird. Wird ihnen die Einreise oder der Aufenthalt verwei­gert, so kann darin eine Verletzung der EMRK begründet sein. Zu be­achten ist, dass die Konventionsgarantie das Familienleben als solches schützt, und nicht die freie Wahl des für den Aufbau und die Führung des Familienle­bens günstigsten Ortes. Ein Eingriff in den Schutzbereich des Fa­milienle­bens liegt daher in aller Regel nicht vor, wenn den Beteiligten ohne weite­res zugemutet werden kann, das Familienleben ausserhalb der Schweiz zu führen. Eine Interessenabwägung nach Art. 8 Abs. 2 EMRK erübrigt sich unter diesen Umständen. Anders verhält es sich, wenn den Beteilig­ten nicht oder nicht ohne weiteres zugemutet werden kann, in das Aus­land auszuweichen. In diesem Fall ist immer eine Interes­senabwägung nach Art. 8 Abs. 2 EMRK bzw. Art. 36 BV geboten, die sämtlichen Umständen des Einzelfalls umfassend Rechnung trägt (BGE 135 I 153 E. 2.1 S. 154 ff. mit Hinweisen).</w:t>
      </w:r>
    </w:p>
    <w:p>
      <w:r>
        <w:rPr>
          <w:b/>
        </w:rPr>
        <w:t>E. 6.3.2</w:t>
      </w:r>
    </w:p>
    <w:p>
      <w:r>
        <w:t>Die angefochtene Einreiseverweigerung betrifft die Kernfamilie, de­ren in der Schweiz lebende Glieder das Schweizer Bürgerrecht besitzen. Damit sind die Voraussetzungen an die verwandtschaftliche Beziehungs­nähe zwischen den beteiligten Personen und die Qualität ihrer Beziehung zur Schweiz erfüllt, von denen das Bundesgericht die Berufung auf Art. 8 EMRK im Zusammenhang mit der Erteilung einer Aufenthaltsbewilligung ab­hängig macht (vgl. statt vieler BGE 130 II 281 E. 3.1 S. 285 f. mit Hinwei­sen; BGE 120 Ib 257). A fortiori ist der Anwendungs­bereich des Art. 8 EMRK geöffnet, wenn es um die Bewilligung der Einreise zu Besuchs­zwecken geht. Anhaltspunkte dafür, dass das Familienleben der Be­schwerdeführer nicht intakt wäre oder innerhalb der vom Ausländer­recht gewährten Möglichkeiten nicht gelebt würde, bestehen nicht. Den Vor­bringen der Beschwerdeführer kann schliesslich entnommen werden, dass jedenfalls aus ihrer Sicht eine Wiederherstellung der Familieneinheit in Guinea möglich ist: Eine Übersiedlung der Familie dorthin sei geplant, und der Beschwerdeführer wolle gerade deshalb in die Schweiz reisen, um persönlich die Bedenken seiner Schwiegereltern gegen einen solchen Schritt zu zerstreuen. Daraus kann jedoch nicht der Schluss gezogen wer­den, den Beteiligten könne ohne weiteres zugemutet werden, den vorlie­gend zu beurteilenden Besuchskontakt im Ausland zu realisieren. Ein solches Ausweichen ins Ausland ist sicherlich nicht unmöglich. Es wird jedoch durch den Umstand erschwert, dass die Beschwerdeführerin Mutter eines Kleinkindes ist und der Beschwerdeführer seinen Besuch in der Schweiz dazu nutzen will, um sich mit seinen Schwiegereltern zu tref­fen. Die Ver­weigerung der Einreise stellt deshalb einen Eingriff in das durch Art. 8 EMRK und Art. 13 Abs. 1 BV geschützte Familienleben dar.</w:t>
      </w:r>
    </w:p>
    <w:p>
      <w:r>
        <w:rPr>
          <w:b/>
        </w:rPr>
        <w:t>E. 6.3.3</w:t>
      </w:r>
    </w:p>
    <w:p>
      <w:r>
        <w:t>Der Anspruch aus Art. 8 EMRK gilt nicht absolut. Vielmehr ist nach Art. 8 Abs. 2 EMRK ein Eingriff in das durch Abs. 1 geschützte Rechtsgut statthaft, soweit er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 der Gesellschaft und Moral sowie der Rechte und Freiheiten anderer notwendig ist. Die Konvention verlangt insofern eine Abwägung der sich gegenüberstehenden privaten Interessen an der Bewilligungserteilung und den öffentlichen Interessen an deren Verweige­rung, wobei letztere in dem Sinne überwiegen müssen, dass sich der Ein­griff als notwendig erweist. Analoge Voraussetzungen ergeben sich aus Art. 36 BV im Hinblick auf einen Eingriff in Art. 13 Abs. 1 BV (BGE 135 I 143 E. 2.1 S. 147; BGE 135 I 153 E. 2.2.1 S. 156; BGE 122 II 1 E. 2 S. 6; je mit Hinweisen).</w:t>
      </w:r>
    </w:p>
    <w:p>
      <w:r>
        <w:rPr>
          <w:b/>
        </w:rPr>
        <w:t>E. 6.3.4</w:t>
      </w:r>
    </w:p>
    <w:p>
      <w:r>
        <w:t>Im vorliegenden Fall steht fest, dass der Eingriff in das Familienle­ben auf einer hinreichenden gesetzlichen Grundlage beruht und einen legiti­men Zweck verfolgt. Insoweit genügt die angefochtene Verfügung den Vorgaben des Art. 8 Abs. 2 EMRK und Art. 36 Abs. 1 und 2 BV.</w:t>
      </w:r>
    </w:p>
    <w:p>
      <w:r>
        <w:rPr>
          <w:b/>
        </w:rPr>
        <w:t>E. 6.3.5</w:t>
      </w:r>
    </w:p>
    <w:p>
      <w:r>
        <w:t>Im Rahmen der nach Art. 8 Abs. 2 EMRK bzw. Art. 36 Abs. 3 BV ge­botenen Interessenabwägung fällt zu Gunsten der Beschwerdeführer nicht unbeträchtlich ins Gewicht, dass die staatli­che Massnahme in die Aus­gestaltung der gegenseitigen Beziehungen innerhalb der Kernfamilie eingreift. Ist es jedoch den Betroffe­nen - wie hier - zumutbar, die Familien­einheit durch Übersiedlung ins Ausland zu verwirkli­chen, und ma­chen sie von dieser Möglichkeit nicht Gebrauch, so sind in erster Linie sie für die sich daraus ergebenden Beeinträchtigungen des Familienlebens ver­ant­wortlich. Weiter ist darauf hinzuweisen, dass in der Vergangenheit der persönliche Kontakt zwischen den Beteiligten durch Besuche in Guinea auf­recht erhalten werden konnte, und die Umstände, die vorgebracht wer­den, um die Notwendigkeit eines Besuchs in der Schweiz zu begründen, nicht in jeder Hinsicht überzeugen. Die Beschwerdeführerin ist mündig, ver­heiratet und Mutter eines Kindes. Weshalb in dieser Situation die Beden­ken ihrer Eltern beseitigt werden müssten, bevor sie mit dem Kind zu ihrem Ehemann ins Ausland zieht, wird nicht erläutert und erschliesst sich auch nicht ohne weiteres. Es tritt hinzu, dass eine Realisierung des Be­suchskontakts im Ausland weder als unmöglich noch auch nur als mit be­sonde­ren Schwierigkeiten verbunden betrachtet werden kann. Jeden­falls ma­chen die Beschwerdeführer keine Gründe geltend, die weitere Tref­fen in Gui­nea ausschliessen würden. Alles in allem wiegt der in der Ver­weige­rung der Einreise liegende Eingriff in die Garantie des Familienle­bens nicht sonderlich schwer.</w:t>
      </w:r>
    </w:p>
    <w:p>
      <w:r>
        <w:rPr>
          <w:b/>
        </w:rPr>
        <w:t>E. 6.3.6</w:t>
      </w:r>
    </w:p>
    <w:p>
      <w:r>
        <w:t>Gegen eine Bewilligung der Einreise des Beschwerdeführers in die Schweiz spricht, dass er während seines Aufenthaltes hier insgesamt 11-mal strafrechtlich zur Verantwortung gezogen werden musste, erstmals am 24. Oktober 2003 und letztmals am 17. April 2007. Insgesamt erwirkte er Freiheitstrafen in der Höhe von 25 Monaten. Den Verurteilungen lagen mehrheitlich die fortgesetzte Missachtung ausländerrechtlicher Ausgrenzungen, die wegen des Verdachts auf Handel mit Betäubungsmitteln verhängt wurden, und rechtswidriger Aufenthalt zu Grunde. Daneben machte sich der Beschwerdeführer der einfachen Körperverletzung mit gefährlichem Gegenstand, Nötigung, Freiheitsberaubung und Entführung sowie der Übertretungen gegen das Betäubungsmittelgesetz schuldig (die letzten vier Straftatbestände mehrfach begangen). Zwar wiegen die einzelnen Straftaten für sich alleine nicht überaus schwer. Die Tatsache jedoch, dass der Beschwerdeführer sich weder durch bedingt aufgeschobene noch unbedingt verhängte Freiheitsstrafen beeindrucken liess und in rascher Folge während seines gesamten Aufenthaltes in der Schweiz delinquierte, zeigt deutlich, dass er zum Zeitpunkt seiner Ausschaffung nach Guinea im Juni 2008 eine erhebliche Gefahr für die öffentliche Ordnung und Sicherheit darstellte. Dass sich seine Lebenssituation seither in einer Weise stabilisiert hätte, die eine Neubewertung des von ihm ausgehenden Risikos rechtfertigen würde, ist nicht hinreichend erstellt.</w:t>
      </w:r>
    </w:p>
    <w:p>
      <w:r>
        <w:rPr>
          <w:b/>
        </w:rPr>
        <w:t>E. 6.3.7</w:t>
      </w:r>
    </w:p>
    <w:p>
      <w:r>
        <w:t>Zum schlechten strafrechtlichen gesellt sich ein ebenso schlechter ausländerrechtlicher Leumund. Zur Verdeutlichung sei an dieser Stelle daran zu erinnern, dass der Beschwerdeführer unter einer Falschidentität um Asyl nachsuchte und nach rechtskräftigem Abschluss des Asylverfah­rens seiner Verpflichtung zur Ausreise nicht freiwillig nachkam. Der Be­schwerdeführer verstand es, während Jahren eine zwangsweise Durchset­zung der Ausreisepflicht zu hintertreiben, indem er sich pflichtwid­rig den Behörden nicht zur Verfügung hielt und bei der Beschaf­fung heimatlicher Ausweispapiere nicht mitwirkte. Erst als er in den Jah­ren 2007/2008 eine 15-monatige Freiheitsstrafe verbüsste, gelang es den Behörden, gegen den anhaltenden Widerstand des Beschwerdeführers, die Voraussetzungen für einen zwangsweisen Vollzug der Wegweisung zu schaffen. Nach dem Ende des Strafvollzugs wurde der Beschwerdefüh­rer in Aus­schaffungshaft genommen und am 26. Juni 2008 zwangsweise nach Guinea zurückgeführt. Es wurde bereits weiter oben darauf hingewiesen, dass unter diesen Umständen mit Blick auf die all­gemeine Situation in seinem Heimatland und dem Fehlen tragfähiger Indi­zien für eine massgebliche Änderung seiner Lebensumstände das Ri­siko einer nicht fristgerechten Ausreise als sehr hoch bewertet werden muss. Angesichts der Erfahrungen mit dem Beschwerdeführer kann an die­ser Einschätzung offensichtlich nichts ändern, dass seine Familie in Gui­nea gut situiert ist, wie er zur Zerstreuung der ausländerrechtlich moti­vierten Bedenken behauptet.</w:t>
      </w:r>
    </w:p>
    <w:p>
      <w:r>
        <w:rPr>
          <w:b/>
        </w:rPr>
        <w:t>E. 6.3.8</w:t>
      </w:r>
    </w:p>
    <w:p>
      <w:r>
        <w:t>Eine wertende Gewichtung der sich gegenüberstehenden Interes­sen führt das Bundesverwaltungsgericht zum Ergebnis, dass das private In­teresse an der Bewilligung der Einreise gegenüber dem öffentlichen Inte­resse an ihrer Verhinderung aus Gründen der öffentlichen Sicherheit und Ordnung zurückzustehen hat. Der in der angefochtenen Verfügung lie­gende Eingriff in das von Art. 8 EMRK und Art. 13 Bst. 1 BV geschützte Familienleben ist deshalb nach Massgabe von Art. 8 Abs. 2 EMRK und Art. 36 BV gerechtfertigt.</w:t>
      </w:r>
    </w:p>
    <w:p>
      <w:r>
        <w:rPr>
          <w:b/>
        </w:rPr>
        <w:t>E. 6.4</w:t>
      </w:r>
    </w:p>
    <w:p>
      <w:r>
        <w:t>Andere Sachverhaltselemente, die unter dem Gesichtspunkt der huma­nitären Gründe, des nationalen Interesses oder der völkerrechtli­chen Verpflichtungen die Erteilung eines Visums mit räumlich beschränk­ter Geltung rechtfertigen würden, werden weder geltend gemacht noch erge­ben sie sich aus den Akten.</w:t>
      </w:r>
    </w:p>
    <w:p>
      <w:r>
        <w:rPr>
          <w:b/>
        </w:rPr>
        <w:t>E. 7</w:t>
      </w:r>
    </w:p>
    <w:p>
      <w:r>
        <w:t>Zusammenfassend ist festzustellen, dass dem Beschwerdeführer weder ein einheitliches Visum noch ein Visum mit beschränkter räumlicher Gültig­keit erteilt werden kann. Die angefochtene Verfügung ist deshalb im Lichte von Art. 49 VwVG nicht zu beanstanden und die Beschwerden sind abzuweisen.</w:t>
      </w:r>
    </w:p>
    <w:p>
      <w:r>
        <w:rPr>
          <w:b/>
        </w:rPr>
        <w:t>E. 8</w:t>
      </w:r>
    </w:p>
    <w:p>
      <w:r>
        <w:t>Mit Abweisung ihrer Beschwerden werden die Beschwerdeführer kosten­pflich­tig (Art. 63 Abs. 1 VwVG, Art. 1, 2 und 3 Bst. b des Reglements vom 21. Februar 2008 über die Kosten und Ent­schädigungen vor dem Bundes­verwaltungsgericht [SR 173.320.2]). Dispositiv S.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