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C-6363/2008 vom 1. November 2010</w:t>
      </w:r>
    </w:p>
    <w:p>
      <w:r>
        <w:t>Bundesverwaltungsgericht, 2010-11-01, FR</w:t>
      </w:r>
    </w:p>
    <w:p>
      <w:r>
        <w:rPr>
          <w:b/>
        </w:rPr>
        <w:t xml:space="preserve">Quelle: </w:t>
      </w:r>
      <w:r>
        <w:t>https://mcp.opencaselaw.ch/entscheid/bvger_C-6363_2008</w:t>
      </w:r>
    </w:p>
    <w:p>
      <w:r>
        <w:t>FR: TAF C-6363/2008 du 1 novembre 2010</w:t>
      </w:r>
    </w:p>
    <w:p>
      <w:r>
        <w:t>IT: TAF C-6363/2008 del 1 novembre 2010</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les autorités cantonales de surveillance en matière de surveillance des fondations de prévoyance peuvent être contestées devant le Tribunal administratif fédéral conformément à l'art. 33 let. i LTAF et à l'art. 74 al. 1 LPP.</w:t>
      </w:r>
    </w:p>
    <w:p>
      <w:r>
        <w:rPr>
          <w:b/>
        </w:rPr>
        <w:t>E. 1.2</w:t>
      </w:r>
    </w:p>
    <w:p>
      <w:r>
        <w:t>A ce propos, il y a lieu d'emblée d'écarter l'allégué de la Fondation qui soulève une exception d'incompétence au motif que le litige relèverait de l'art. 73 LPP.</w:t>
      </w:r>
    </w:p>
    <w:p>
      <w:r>
        <w:rPr>
          <w:b/>
        </w:rPr>
        <w:t>E. 1.2.1</w:t>
      </w:r>
    </w:p>
    <w:p>
      <w:r>
        <w:t>En l'espèce, l'objet du litige est constitué par la décision du 26 août 2008 laquelle est manifestement une décision au sens de l'art. 5 PA. Par cette décision, l'autorité inférieure a constaté que la Fondation avait procédé aux évaluations actuarielles requises par le règlement entre 1999 et 2002 et qu'elle avait encaissé durant cette période les contributions annuelles de l'employeur conformément à son règlement et selon un calcul établie par un expert agréé en LPP. Dans son recours du 6 octobre 2008, la recourante demande l'annulation de cette décision, à ce que l'employeur soit astreint au paiement de la somme de Fr. 5'492'000.- ainsi qu'à la nomination d'un comité représentatif pour effectuer le partage de ce montant. En fait, la recourante se plaint de ce que l'absence de fonds libres au moment de la liquidation totale de la Fondation serait consécutif à des actes de gestion du Conseil de Fondation contraires aux statuts ou à la loi.</w:t>
      </w:r>
    </w:p>
    <w:p>
      <w:r>
        <w:rPr>
          <w:b/>
        </w:rPr>
        <w:t>E. 1.2.2</w:t>
      </w:r>
    </w:p>
    <w:p>
      <w:r>
        <w:t>À ce propos, il convient de préciser que, quand bien même les reproches de la recourante consistent à se plaindre de ce que l'employeur aurait bénéficié de certains procédés comptables ayant eu pour effet de diminuer sa part de cotisations, l'objet du présent litige ne concerne pas la question d'une éventuelle violation par l'employeur de ses obligations découlant de l'art. 66 LPP et du règlement. Ce point devrait en effet être examiné dans le cadre des contestations relevant de l'art. 73 LPP qui doivent être portées devant le Tribunal cantonal compétent (cf. Arrêt du TF du 31 janvier 2006 dans la cause B 39/02 consid. 4.2 et réf. cit.). Ainsi, la conclusion de la recourante tendant à ce que le nouvel employeur issu de la fusion soit astreint au paiement de Fr. 5'492'000.- est irrecevable. L'objet du litige est circonscrit à la décision du 26 août 2008. Le TAF ne peut que déterminer, dans le cadre de l'art. 74 LPP, si le Conseil de fondation n'a pas outrepassé le pouvoir d'appréciation qui lui est conféré ou n'en a pas abusé en avalisant les comptes révisés comme il l'a fait en l'espèce, lesquels ont ensuite été approuvés par l'autorité inférieure, et s'il peut être reproché à cette dernière de ne pas avoir constaté que les fonds libres existant antérieurement avait été indûment utilisés par l'employeur.</w:t>
      </w:r>
    </w:p>
    <w:p>
      <w:r>
        <w:rPr>
          <w:b/>
        </w:rPr>
        <w:t>E. 1.3</w:t>
      </w:r>
    </w:p>
    <w:p>
      <w:r>
        <w:t>S'agissant du droit applicable, il convient de préciser que quand bien même les comptes de liquidation de l'intimée sont ceux de l'exercice arrêté au 31 décembre 2005, les faits déterminants pour l'issue de la présente procédure sont antérieurs à cette date. Sont donc applicables les dispositions de la Loi fédérale sur le libre passage dans la prévoyance professionnelle vieillesse, survivants et invalidité (LFLP, RS 831.42) et de la LPP dans leur version en vigueur avant la 1re révision de la LPP (cf. loi fédérale du 3 octobre 2003, RO 2004 1677). Les dispositions topiques sont donc citées, sauf mention contraire, dans leur teneur en vigueur avant le 31 décembre 2004.</w:t>
      </w:r>
    </w:p>
    <w:p>
      <w:r>
        <w:rPr>
          <w:b/>
        </w:rPr>
        <w:t>E. 1.4</w:t>
      </w:r>
    </w:p>
    <w:p>
      <w:r>
        <w:t>La qualité pour agir selon l'art. 48 al. 1 PA appartient à quiconque a participé à la décision dont est recours ou en a été empêché, est touché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ATF 123 II 376, ATF 120 Ib 379, ATF 116 Ib 321, ATF 112 Ib 228; Pierre Moor, Droit administratif II, 2ème éd. Berne 2002, p. 626 ss; Benoît Bovay, Procédure administrative, Berne 2000, p. 483 ss).</w:t>
      </w:r>
    </w:p>
    <w:p>
      <w:r>
        <w:rPr>
          <w:b/>
        </w:rPr>
        <w:t>E. 1.4.1</w:t>
      </w:r>
    </w:p>
    <w:p>
      <w:r>
        <w:t>La recourante est une association au sens des article 60 et suivants du code civil suisse du 10 décembre 1907 (CC, RS 210), créée à Genève le 13 janvier 2004. Elle compte 40 adhérents, tous membres de la Fondation intimée, ainsi que le dispose l'art. 5 des statuts qui dit que l'acquisition de la qualité de membre est réservée à toute personne membre de la Fondation intimée en août 1998. Le principal but de l'association tel qu'il ressort de l'art. 2 de ses statuts est d'assurer la défense de ses intérêts et de ses droits en particulier dans la procédure de liquidation de la Fondation intimée. L'art 3 précise que l'Association peut représenter légalement ses membres dans la défense de leurs droits. Au vu de ce qui précède, il ne fait aucun doute que sur ce point, la recourante qui a pris par à la procédure antérieure, a la qualité pour agir.</w:t>
      </w:r>
    </w:p>
    <w:p>
      <w:r>
        <w:rPr>
          <w:b/>
        </w:rPr>
        <w:t>E. 1.4.2</w:t>
      </w:r>
    </w:p>
    <w:p>
      <w:r>
        <w:t>S'agissant de son intérêt à recourir, selon l'art. 23 LPFL en vigueur jusqu'au 31 décembre 2004, en cas de liquidation partielle ou de liquidation totale, un droit individuel ou collectif à des fonds libres s'ajoute au droit à la prestation de sortie. En l'espèce, un plan de répartition prévoyant d'abord une liquidation partielle, puis une liquidation totale lorsque la Fondation ne compterait plus d'assurés a été avalisé et confirmé par le Tribunal fédéral. (Arrêt du TF 2 A/501/2002 du 20 mars 2003). Dans cet arrêt, la Haute Cour a nié aux recourants de l'époque (10 personnes préretraitées dont 9 aujourd'hui sont membres de la recourante) un droit subjectif à une part de fonds libres lequel est réservé aux seuls employés sortants en cas de liquidation partielle (consid. 5.2). Le TF avait alors examiné les griefs des recourants uniquement sous l'angle de l'égalité de traitement, l'interdiction de l'arbitraire, de la proportionnalité et de la bonne foi. L'objet du litige portait sur l'approbation du plan de liquidation partielle. Les craintes des recourants au sujet des fonds libres existants au moment de la liquidation totale ont été jugées prématurés, les recourants étant renvoyés à faire valoir leurs droits à l'encontre du plan de répartition final. Or ce plan n'existe pas, faute de fonds libres disponibles. Aux termes de l'art. 23 al. 2 LFLP, les fonds libres doivent être calculés en fonction de la fortune, dont les éléments seront évalués sur la base des valeurs de revente, l'art. 9 de l'ordonnance du 3 octobre 1994 sur le libre passage (dans sa teneur en vigueur jusqu'au 31 décembre 2004, OLP, RS 831.425) donne des précisions. Il va de soi qu'à défaut de pouvoir contester un plan de répartition inexistant, la recourante peut se plaindre de ce que l'absence de fonds libres résulterait d'un calcul non conforme à la loi et au règlement. C'est par ailleurs ce que le TF l'invitait à faire, cas échéant, dans l'arrêt précité (consid. 5.5 par. 3).</w:t>
      </w:r>
    </w:p>
    <w:p>
      <w:r>
        <w:rPr>
          <w:b/>
        </w:rPr>
        <w:t>E. 1.4.3</w:t>
      </w:r>
    </w:p>
    <w:p>
      <w:r>
        <w:t>La Fondation intimée conteste aussi la légitimation active de la recourante en raison de la prescription de la créance qu'elle revendique. Comme, il vient d'être dit, la conclusion visant au payement par l'employeur d'une certaine somme est irrecevable. La Cour de céans n'a pas à établir si la prescription selon l'art. 41 al. 2 ou 52 LPP est acquise du moment que l'objet du litige est limité à ce que l'art. 74 LPP l'habilite à examiner.</w:t>
      </w:r>
    </w:p>
    <w:p>
      <w:r>
        <w:rPr>
          <w:b/>
        </w:rPr>
        <w:t>E. 1.5.1</w:t>
      </w:r>
    </w:p>
    <w:p>
      <w:r>
        <w:t>Le recours a été déposé le 6 octobre 2008, ce qui serait tardif selon la Fondation intimée. Il n'est pas contesté que la décision litigieuse a été notifiée à la recourante le 27 août 2008 et que le délai de recours de trente jours court dès le lendemain de cette communication (art. 20 et 50 PA). Or, la décision litigieuse indique en guise de voies de droit le délai de trente jours à compter de sa publication dans la Feuille d'Avis Officielle de la République et canton de Genève. Dite publication a eu lieu le 8 septembre 2008.</w:t>
      </w:r>
    </w:p>
    <w:p>
      <w:r>
        <w:rPr>
          <w:b/>
        </w:rPr>
        <w:t>E. 1.5.2</w:t>
      </w:r>
    </w:p>
    <w:p>
      <w:r>
        <w:t>L'indication incorrecte de voies de droit ne doit pas entraîner de préjudice pour les parties (art. 38 PA). Il s'agit d'un principe qui se déduit directement de celui de la bonne foi qui autorise l'administré à se fonder sur les déclarations de l'autorité compétente (Jurisprudence des autorités administratives de la Confédération [JAAC] 64.26. consid. 4; ATF 119 IV 330 consid. 1c ). Toutefois, le justiciable ne peut invoquer la protection de sa bonne foi que si l'indication était crédible, c'est à dire s'il n'était pas à même, en faisant preuve d'une attention suffisante, d'en déceler l'inexactitude. Une plus grande sévérité s'impose lorsqu'il est représenté par un avocat (ATF 117 Ib 297 consid. 2). Ainsi, ce dernier ne saurait se prévaloir de son ignorance du droit lorsque l'erreur était reconnaissable par une simple consultation de la loi (ATF 135 III 374 consid. 1.2.1.1 et les références citées). En revanche, il n'est pas tenu de consulter la doctrine et la jurisprudence (ATF 134 I 199 consid. 1.3.1) Le justiciable ne doit en outre pas pâtir d'une réglementation légale peu claire ou contradictoire des voies de droit; il est alors dans une situation comparable à celle du justiciable à qui l'autorité donne, dans sa décision, des indications erronées à ce sujet (ATF 123 II 231 consid. 8b).</w:t>
      </w:r>
    </w:p>
    <w:p>
      <w:r>
        <w:rPr>
          <w:b/>
        </w:rPr>
        <w:t>E. 1.5.3</w:t>
      </w:r>
    </w:p>
    <w:p>
      <w:r>
        <w:t>La recourante est représentée par des experts LPP qui ne sont pas des hommes de lois. De surcroît, l'art. 50 PA indique que le recours doit être déposé dans les 30 jours qui suivent la notification de la décision. Cette formulation ne lui est d'aucun secours, car elle aurait dès lors dû se poser la question de la notification, dont la réponse ne ressort pas de la loi. Il s'en suit que déclarer le recours irrecevable pour cause de tardivité serait contraire au principe de la bonne foi. Déposé dans le délai légal et dans les formes requises, l'avance de frais ayant en outre été versée, le recours peut donc être examiné sur le fond.</w:t>
      </w:r>
    </w:p>
    <w:p>
      <w:r>
        <w:rPr>
          <w:b/>
        </w:rPr>
        <w:t>E. 2</w:t>
      </w:r>
    </w:p>
    <w:p>
      <w:r>
        <w:t>Selon l'art. 49 PA, peuvent être invoquées devant le Tribunal administratif fédéral la violation du droit fédéral - y compris l'excès ou l'abus du pouvoir d'appréciation -, la constatation inexacte ou incomplète des faits pertinents et l'inopportunité.</w:t>
      </w:r>
    </w:p>
    <w:p>
      <w:r>
        <w:rPr>
          <w:b/>
        </w:rPr>
        <w:t>E. 3.1</w:t>
      </w:r>
    </w:p>
    <w:p>
      <w:r>
        <w:t>Les institutions de prévoyance doivent offrir en tout temps la garantie qu'elles peuvent remplir leurs engagements (art. 65 al. 1 LPP), Le système de cotisations - sous réserve de la répartition paritaire minimale prévue à l'art. 66 LPP - et leur financement font l'objet d'un règlement qui doit permettre le versement des prestations prévues par la loi dès qu'elles sont exigibles (art. 65 al. 2 LPP). La fortune de l'institution doit être administrée de manière à garantir la sécurité des placements, un rendement raisonnable, une répartition appropriée des risques et la couverture des besoins prévisibles de liquidités (art. 71 al. 1 LPP). Les art. 47 et 48 de de l'ordonnance du 18 avril 1984 sur la prévoyance professionnelle vieillesse, survivants et invalidité (OPP2, RS 831.441.1) donnent les principes à observer sur la tenue régulière des comptes et l'évaluation des créances; y figurent outre un renvoi aux art. 957 à 964 du code des obligations du 30 mars 1911 (CO, RS 220), une référence aux principes régissant l'établissement régulier des comptes et depuis le 1er avril 2004, aux recommandations comptables Swiss GAAP RPC 26.</w:t>
      </w:r>
    </w:p>
    <w:p>
      <w:r>
        <w:rPr>
          <w:b/>
        </w:rPr>
        <w:t>E. 3.2</w:t>
      </w:r>
    </w:p>
    <w:p>
      <w:r>
        <w:t>Aux termes de l'art. 53 al. 1 LPP, chaque institution de prévoyance désigne un organe de contrôle qui vérifie chaque année la légalité (conformité à la loi, aux ordonnances, aux directives et aux règlements, cf. art. 35 al. 1 OPP2) de la gestion, des comptes et des placements. Cet organe joue un rôle très important, puisque l'autorité de surveillance (art. 61 LPP) ne procède elle-même à aucun contrôle sur place. Ainsi, de par sa nature, l'organe de contrôle ne doit pas être soumis aux instructions de l'institution qu'il révise. L'art. 33 OPP2 définit les conditions nécessaires pour être organe de contrôle et l'art. 34 OPP2 fixe les règles de son indépendance. L'organe de contrôle doit établir, à l'intention de l'organe supérieur de l'institution avec copie à l'autorité de surveillance (art. 36 OPP2) un rapport écrit sur le résultat de ses vérifications (art. 35 al. 3 OPP2). Il propose d'approuver les comptes annuels, avec ou sans réserves, ou d'en refuser l'approbation. Si l'organe de contrôle constate, lors de ses vérifications, que la loi, l'ordonnance, les directives ou le règlement n'ont pas été observés, il le consignera dans son rapport. En cas d'irrégularité, il doit impartir un délai approprié pour régulariser la situation; en cas d'inobservation du délai, l'organe de contrôle doit informer l'autorité de surveillance (art. 36 OPP2).</w:t>
      </w:r>
    </w:p>
    <w:p>
      <w:r>
        <w:rPr>
          <w:b/>
        </w:rPr>
        <w:t>E. 3.3</w:t>
      </w:r>
    </w:p>
    <w:p>
      <w:r>
        <w:t>Aux termes de l'art. 53 al. 2 LPP, l'institution de prévoyance chargera un expert agréé en matière de prévoyance professionnelle de déterminer périodiquement si l'institution de prévoyance offre en tout temps la garantie qu'elle peut remplir ses engagements et si les dispositions réglementaires de nature actuarielle et relatives aux prestations et au financement sont conformes aux prescriptions légales. L'expert agréé est un interlocuteur important de l'organe suprême de l'institution de prévoyance pour toutes les questions actuarielles. Les art. 37 à 41 OPP2 (+ 41a OPP2 depuis le 1er janvier 2005) règlent les conditions de sa reconnaissance, de son indépendance et de ses rapports avec l'autorité de surveillance. L'autorégulation est très étendue dans la profession et la Chambre suisse des actuaires-conseils publie avec l'association suisse des actuaires (ASA) des directives et des principes auxquels ses membres doivent se tenir. Ainsi selon l'art. 12 des "Principes et directives 2000 pour les experts en assurance de pension", un bilan technique doit être établi tous les trois ans (chaque année en cas de découvert cf. art. 41a OPP2 en vigueur depuis le 1er janvier 2005) selon les principes d'un bilan en caisse fermée et du système de capitalisation.</w:t>
      </w:r>
    </w:p>
    <w:p>
      <w:r>
        <w:rPr>
          <w:b/>
        </w:rPr>
        <w:t>E. 3.4</w:t>
      </w:r>
    </w:p>
    <w:p>
      <w:r>
        <w:t>Les tâches de l'autorité de surveillance sont définies à l'art 62 LPP. D'une manière générale, elle doit s'assurer que l'institution de prévoyance se conforme aux prescriptions légales. En particulier, elle vérifie la conformité des dispositions réglementaires avec les prescriptions légales (a), elle exige de l'institution de prévoyance un rapport périodique, notamment sur son activité (b); elle prend connaissance des rapports de l'organe de contrôle et de l'expert agréé (c) et elle prend les mesures propres à éliminer les insuffisances constatées. Dans le cadre de ses activités de contrôle, l'autorité de surveillance peut s'en remettre aux rapports de l'organe de contrôle et de l'expert agréé; les informations manifestement fausses doivent être rectifiées ou, à tout le moins, des corrections doivent être demandées ou des mesures prises (Christina Ruggli in: Schneider/Geiser/Gächter, Commentaire LPP et LFLP, ad. art. 62 N 15).</w:t>
      </w:r>
    </w:p>
    <w:p>
      <w:r>
        <w:rPr>
          <w:b/>
        </w:rPr>
        <w:t>E. 4.1</w:t>
      </w:r>
    </w:p>
    <w:p>
      <w:r>
        <w:t>Selon l'art. 5.1.2 du Règlement de la Fondation, le montant annuel de la rente de vieillesse s'élève, pour chaque année de service déterminante, à 1.75% du salaire final déterminant. Le système de retraite est en conséquence fondé sur la primauté des prestations et non des cotisations, ce qui implique que l'employeur, parallèlement aux cotisations annuelles réglementaires payées par les salariés, dont le montant annuel ne peut être inférieur à celui versé par tous les salariés (art. 331 al. 3 CO et 66 al. 1 LPP), doit financer le solde permettant d'atteindre le niveau des prestations réglementaires.</w:t>
      </w:r>
    </w:p>
    <w:p>
      <w:r>
        <w:rPr>
          <w:b/>
        </w:rPr>
        <w:t>E. 4.2</w:t>
      </w:r>
    </w:p>
    <w:p>
      <w:r>
        <w:t>Selon l'art. 10.2 al. 1 du règlement, "les cotisations annuelles des assurés sont fixées à 5% du salaire final déterminant; elles ne sont dues qu'à partir du 1er janvier suivant le 24ème anniversaire". Selon l'art. 10.3 al. 1 dudit règlement, "la contribution annuelle de l'entreprise est déterminée d'après une évaluation actuarielle, après déduction du total des contributions des employés". L'alinéa 2 énonce que si "l'entreprise le juge nécessaire et en vue de changements de législation ou pour cause de ses propres possibilités financières, elle peut, après notification aux représentants des employés du Conseil de Fondation, décider de baisser sa contribution annuelle. Toutefois, la contribution annuelle de l'entreprise est au moins égale à la somme des contributions de tous les employés, et celle-ci doit être au moins suffisante pour couvrir les prestations minimales LPP". Cette disposition permet donc à l'entreprise en cas de nécessités financières d'abaisser sa cotisation annuelle jusqu'au montant de celle versée par tous les salariés mais dans la mesure d'une notification préalable au représentants des employés du Conseil de fondation.</w:t>
      </w:r>
    </w:p>
    <w:p>
      <w:r>
        <w:rPr>
          <w:b/>
        </w:rPr>
        <w:t>E. 4.3</w:t>
      </w:r>
    </w:p>
    <w:p>
      <w:r>
        <w:t>Le Conseil de fondation est l'organe dirigeant composé de quatre membres, désignés pour moitié par le personnel et pour moitié par l'employeur (art. 6 par. 1 de l'acte constitutif). Les comptes de la Fondation sont tenus sous la responsabilité et selon les directives du Conseil de fondation et sont établis pour chaque exercice annuel (art. 8 par. 1 de l'acte constitutif). En aucun cas, la fortune de la Fondation ne peut faire retour à l'employeur ni être utilisée en tout ou partie et de quelque manière que ce soit, au profit de l'employeur (art. 10 par. 4 de l'acte constitutif).</w:t>
      </w:r>
    </w:p>
    <w:p>
      <w:r>
        <w:rPr>
          <w:b/>
        </w:rPr>
        <w:t>E. 5.1</w:t>
      </w:r>
    </w:p>
    <w:p>
      <w:r>
        <w:t>Il ressort de la documentation produite que la situation financière de la Fondation ainsi que la contribution de l'employeur pour l'exercice 1999 ont été déterminées au moyen d'une expertise technique au 1er janvier 1999, établi par un expert agréé qui se fonde notamment sur le rapport de l'organe de contrôle concernant le bilan commercial au 31 décembre 1998 et le compte d'exploitation de cette même année. La précédente expertise technique avait été établie au 1er janvier 1997. Dans son calcul de la fortune de la Fondation, l'expert agréé (p. 6 de son rapport) conclut à un capital de garantie de Fr. 23'304'100.- (selon le bilan commercial: actif = Fr. 26'890'848.- et passif Fr. 3'586'748.-). Le total des engagements étant de Fr. 17'459'193.-, l'excédent technique est donc de Fr. 5'844'907.-, soit un degré de couverture de 133%. Suivant le conseil de l'organe de contrôle qui a établi en Annexe 3.8 des comptes 1998 un bilan aux valeurs de reventes, l'expert propose la création d'une réserve de fluctuation (cf. p. 8 de son rapport) laquelle sera approuvée quant à son principe par le TF (cf. arrêt 2A.501/2002 du 20 mars 2003 consid. 5.6). Cette réserve, qui vient en déduction des actifs, a pour effet de diminuer le capital de garantie et partant, le degré de couverture qui n'est plus que de 124%. Cette expertise avait également pour but de permettre au Conseil de fondation d'établir un plan de liquidation. Il est clair alors que tant l'expert que l'organe de révision avaient conscience d'une future liquidation. Toutefois les conséquences financière n'étaient pas encore connues, le choix du Conseil de fondation dépendait en partie du résultat de l'expertise. Il est donc logique que le bilan 1998 soit un bilan de continuité. La réserve de fluctuations ne sera créée d'un point de vue comptable qu'en 1999, suite à une décision du Conseil de fondation du 19 mai 1999, pour un montant de Fr. 924'000 et non pour Fr. 1'642'843 comme l'affirme la recourante. Toutefois, l'expert agrée qui doit déterminer la contribution de l'employeur pour 1999 doit déjà en tenir compte dans les engagements de la Fondation.</w:t>
      </w:r>
    </w:p>
    <w:p>
      <w:r>
        <w:rPr>
          <w:b/>
        </w:rPr>
        <w:t>E. 5.2</w:t>
      </w:r>
    </w:p>
    <w:p>
      <w:r>
        <w:t>Dans ses actes, la recourante formule en grande partie des griefs déjà présentés dans les précédentes procédures, sans succès. Elle ne démontre pas en quoi la méthode utilisée par l'expert agrée contrevient à la loi ou au règlement. Elle se contente de recalculer la contribution de l'employeur avec des paramètres différents, lesquels par ailleurs varient en fonction de ses écritures. Il y a en effet plusieurs méthodes pour financer les prestations et celle utilisée l'était déjà avant 1999 et est conforme aux "Principes et directives 2000 pour les experts en assurance de pension" (cf. consid. 3.3).</w:t>
      </w:r>
    </w:p>
    <w:p>
      <w:r>
        <w:rPr>
          <w:b/>
        </w:rPr>
        <w:t>E. 5.3</w:t>
      </w:r>
    </w:p>
    <w:p>
      <w:r>
        <w:t>En substance, elle reproche à l'expert agrée d'amortir le découvert/excédent alors que la Fondation sait qu'elle va cesser son activité et soutient que l'excédent technique au 31 décembre 1998 étaient devenu une provision en vue de la liquidation. Or, la seule garantie que doit offrir la Fondation, est celle de pouvoir remplir ses engagements (art. 65 al. 1 LPP). La gestion de la fortune doit viser ce but et non celui de générer le plus de fonds libres possibles. La Fondation doit régler son système de cotisations et son financement de manière à ce que les prestations prévues puissent être fournies dès qu'elles sont exigibles (art. 65 al. 2 LPP). Elle n'a aucune obligation de réaliser des excédents au delà du capital de couverture et des provisions indispensables (arrêt du Tribunal fédéral 9C_743/2009 du 25 mars 2010 consid. 3.4). Dans ce même arrêt, la Haute Cour précise que si les fonds libres sont élevés, c'est que l'institution de prévoyance a perçu par le passé des cotisations qui excèdent ce qui est nécessaire pour couvrir ses obligations.</w:t>
      </w:r>
    </w:p>
    <w:p>
      <w:r>
        <w:rPr>
          <w:b/>
        </w:rPr>
        <w:t>E. 5.4</w:t>
      </w:r>
    </w:p>
    <w:p>
      <w:r>
        <w:t>Selon la méthode proposée par l'expert et choisie par le Conseil de fondation, l'employeur s'engage précisément à verser ce qui est nécessaire à couvrir les prestations réglementaires avec une seule limite qui est de ne pas être en dessous de la cotisation payée par les employées qui elle est fixe. Les cotisations fixées par l'expert ont été portées en compte et acquittées par l'employeur. Jusqu'en 2002, le taux de couverture a toujours été suffisant. Au 1er janvier 2003, le déficit technique se montait cependant à Fr. 588'313.- pour un degré de couverture de 93,2 %. Il s'est accru par la suite, mais l'employeur, s'est engagé par écrit le 27 mai 2004 a comblé l'intégralité du déficit de liquidation, ce qu'il a visiblement fait auprès des Rentes Genevoises lesquelles ont repris les engagements de la Fondation. Sans doute que l'on peut discuter de la pertinence de certaines réserves ou provisions (cf. Denis Mazouer, Les difficultés de distribuer les surplus, in SPV 10/98, p. 793ss qui évoque la tentation de "manipuler" le bilan) mais du moment que la Fondation, au moment de sa liquidation, est en mesure de faire face à ses engagements, on ne peut pas parler d'erreurs fautives de gestion. Comme il a déjà été dit, la recourante n'a pas un droit subjectif à des fonds libres (cf. supra consid. 1.4.2). Avant la liquidation, ceux-ci ne constituent de toute manière qu'une expectative dont la concrétisation dépend de facteurs impondérables (arrêt du TF 9C_98/2009 du 30 juin 2009 consid. 4.3). La constatation de l'existence de fonds libres à la date de la liquidation relève de la marge d'appréciation des organes compétents de la fondation, dans les limites bien entendu de la loi, de l'acte constitutif et du règlement (arrêt du TF 2A.749/2006 du 9 août 2007 consid. 4.1) Il faut rappeler qu'ensuite l'autorité de surveillance n'est pas tenue d'examiner dans le détail les rapports qui doivent lui être obligatoirement rendus, particulièrement s'il n'y a aucun déficit de couverture. Comme déjà exposé (cf. consid. 3.4), elle prend connaissance des rapports de l'organe de contrôle et de l'expert agréé et peut en principe s'y fier sauf erreur manifeste. Le système de contrôle mis en place est de type pyramidal (cf. Ruggli, op. cit. ad. art. 62 N 13) et les intérêts des employés sont avant tout défendus par le système paritaire qui régit la composition du Conseil de fondation (art. 51 LPP), ainsi que par l'indépendance de l'organe de contrôle et de l'expert agréé. Ainsi, il ne peut être fait aucun reproche à l'autorité inférieure laquelle à exercer son pouvoir de contrôle tel que limité par l'art. 62 LPP, de même que le Conseil de fondation a agi dans le cadre de son pouvoir d'appréciation.</w:t>
      </w:r>
    </w:p>
    <w:p>
      <w:r>
        <w:rPr>
          <w:b/>
        </w:rPr>
        <w:t>E. 5.5</w:t>
      </w:r>
    </w:p>
    <w:p>
      <w:r>
        <w:t>La Cour se plaît à relever que les exigences en matière de surveillance LPP n'ont cessé de croître ces dernières années (à propos de l'évolution du rôle de l'expert, cf. Theodor Keller, Le rôle des experts dans un monde en évolution, in: Prévoyance professionnelle suisse [SPV] 09.10, p. 36). Soucieux d'optimiser et de renforcer encore la surveillance en matière de prévoyance professionnelle, le Parlement a adopté récemment une réforme structurelle de la LPP qui définit plus clairement, dans l'optique d'une meilleure transparence, les tâches et les responsabilités des différents acteurs, favorisant une approche prospective plutôt que répressive comme à présent (cf. Message du Conseil fédéral du 15 juin 2007 concernant la révision de la loi fédérale sur la prévoyance professionnelle vieillesse, survivants et invalidité [Réforme structurelle], FF 2007 5381, sur les faiblesses actuelles du système p. 5394) Cette réforme entrera en vigueur par étape en 2011 (FF 2010 1841).</w:t>
      </w:r>
    </w:p>
    <w:p>
      <w:r>
        <w:rPr>
          <w:b/>
        </w:rPr>
        <w:t>E. 6.1</w:t>
      </w:r>
    </w:p>
    <w:p>
      <w:r>
        <w:t>Au vu de ce qui précède, le recours doit être rejeté pour autant que recevable et la décision du 26 août 2008 de l'autorité inférieure confirmée.</w:t>
      </w:r>
    </w:p>
    <w:p>
      <w:r>
        <w:rPr>
          <w:b/>
        </w:rPr>
        <w:t>E. 6.2</w:t>
      </w:r>
    </w:p>
    <w:p>
      <w:r>
        <w:t>Compte tenu de l'issue du litige la requête du 26 août 2010 de la Fondation intimée visant l'ouverture de débats publics est sans objet.</w:t>
      </w:r>
    </w:p>
    <w:p>
      <w:r>
        <w:rPr>
          <w:b/>
        </w:rPr>
        <w:t>E. 7.1</w:t>
      </w:r>
    </w:p>
    <w:p>
      <w:r>
        <w:t>La recourante, qui succombe, doit donc s'acquitter des frais de justice fixés, compte tenu de la charge liée à la procédure, à Fr. 5'000.-- (art. 63 al. 1 règlement du 21 février 2008 concernant les frais, dépens et indemnités fixés par le Tribunal administratif fédéral [FITAF, RS 173.320.2] et 69 al. 2 LAI). Ils sont compensés par l'avance de frais déjà versée de Fr. 5'000.--.</w:t>
      </w:r>
    </w:p>
    <w:p>
      <w:r>
        <w:rPr>
          <w:b/>
        </w:rPr>
        <w:t>E. 7.2</w:t>
      </w:r>
    </w:p>
    <w:p>
      <w:r>
        <w:t>En vertu de l'art. 64 al. 1 PA, l'autorité de recours peut allouer, d'office ou sur requête, à la partie ayant entièrement ou partiellement gain de cause une indemnité pour les frais indispensables et relativement élevés qui lui ont été occasionnés. Cependant, le Tribunal fédéral a estimé qu'il n'y avait en règle générale pas lieu d'allouer des dépens à une institution de prévoyance, qui est une institution chargée de tâches de droit public (ATF 126 V 143 consid. 4, ATF 128 V 124 consid. 5b). Il n'y a pas lieu en l'espèce de s'écarter de cette règle de sorte la Foundation of A._______ (Europe) SA, succursale de Genève, en liquidation,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