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C-6358/2012 vom 27. Mai 2013</w:t>
      </w:r>
    </w:p>
    <w:p>
      <w:r>
        <w:t>Bundesverwaltungsgericht, 2013-05-27, IT</w:t>
      </w:r>
    </w:p>
    <w:p>
      <w:r>
        <w:rPr>
          <w:b/>
        </w:rPr>
        <w:t xml:space="preserve">Quelle: </w:t>
      </w:r>
      <w:r>
        <w:t>https://mcp.opencaselaw.ch/entscheid/bvger_C-6358_2012</w:t>
      </w:r>
    </w:p>
    <w:p>
      <w:r>
        <w:t>FR: TAF C-6358/2012 du 27 mai 2013</w:t>
      </w:r>
    </w:p>
    <w:p>
      <w:r>
        <w:t>IT: TAF C-6358/2012 del 27 maggio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6a revisione della LAI (primo pacchetto di misure), in vigore dal 1° gennaio 2012 (RU 2011 5659; FF 2010 1603), sono quindi applicabili, come lo sono le disposizioni della LPGA, se e per quanto la LAI lo preveda (art. 2 LPGA).</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Giusta l'art. 28 cpv. 2 LPGA, chi rivendica prestazioni assicurative deve fornire gratuitamente tutte le informazioni necessarie per accertare i suoi diritti e per stabilire le prestazioni assicurative. Dal canto suo, l'art. 43 cpv. 3 della stessa legge stabilisce che se l'assicurato o altre persone che pretendono prestazioni, nonostante un'ingiunzione, rifiutano in modo ingiustificato di compiere il loro dovere d'informare o di collaborare, l'assicuratore può, dopo diffida scritta ed avvertimento delle conseguenze giuridiche e dopo aver impartito un adeguato termine di riflessione, decidere in base agli atti o chiudere l'inchiesta e decidere di non entrare in materia. L'obbligo di collaborazione è peraltro previsto anche dalla PA, all'art. 13, che impone alle parti di cooperare all'accertamento dei fatti in un procedimento da esse proposto e consente all'autorità di dichiarare inammissibili le domande formulate in tali procedimenti, quando le parti neghino la cooperazione necessaria e ragionevolmente esigibile.</w:t>
      </w:r>
    </w:p>
    <w:p>
      <w:r>
        <w:rPr>
          <w:b/>
        </w:rPr>
        <w:t>E. 4.3</w:t>
      </w:r>
    </w:p>
    <w:p>
      <w:r>
        <w:t>Considerato che la nozione d'invalidità è di carattere giuridico economico, non medico (DTF 116 V 249 consid. 1b), l'amministrazione, prima di esaminare la documentazione medica, deve fare chiarezza sulla carriera lavorativa del richiedente. Il questionario per l'assicurato deve pertanto essere compilato con esattezza e deve contenere tutte quelle indicazione di carattere economico necessarie all'esame della richiesta di rendita.</w:t>
      </w:r>
    </w:p>
    <w:p>
      <w:r>
        <w:rPr>
          <w:b/>
        </w:rPr>
        <w:t>E. 4.4</w:t>
      </w:r>
    </w:p>
    <w:p>
      <w:r>
        <w:t>In concreto, l'amministrazione aveva a disposizione il questionario compilato dell'ultimo datore di lavoro in Austria, relativo ad un periodo d'attività fino all'agosto 2009, terminatosi per motivi di salute. Inoltre, dalla perizia medica E 213 del 19 ottobre 2011, risulta che il ricorrente non lavorava dal dicembre 2010 e che gli è stata riconosciuta un'invalidità totale per sclerosi multipla secondariamente progressiva con tetraparesi ai quattro arti e spasticità agli arti inferiori, con decorso cronico e ingravescente, difficoltà a mantenere la stazione eretta ed ipostenia, nonché la necessità di assistenza continuativa. Date queste circostanze, l'UAIE, una volta preso atto di questa informazione, avrebbe potuto, previo rapido esame, rendersi conto che il ricorrente non svolgeva più alcuna attività lucrativa. Peraltro, come sottolineato dal rappresentante del ricorrente il 30 novembre 2012, quest'ultimo è stato costretto ad un lungo ricovero in ospedale dal 14 agosto al 1° ottobre 2012, e non è stato in grado di dare seguito a quanto richiestogli. Inoltre, già prima dell'inoltro del ricorso, sia la sede del Patronato INCA di Zurigo che quella di Bellinzona avevano provveduto a trasmettere la documentazione necessaria.</w:t>
      </w:r>
    </w:p>
    <w:p>
      <w:r>
        <w:rPr>
          <w:b/>
        </w:rPr>
        <w:t>E. 5</w:t>
      </w:r>
    </w:p>
    <w:p>
      <w:r>
        <w:t>Di conseguenza, il ricorso deve essere accolto, la decisione impugnata annullata e l'incarto rinviato all'UAIE per esaminare la domanda di rendita presentata dal ricorrente il 30 settembre 2011, ed emanare una decisione di merito.</w:t>
      </w:r>
    </w:p>
    <w:p>
      <w:r>
        <w:rPr>
          <w:b/>
        </w:rPr>
        <w:t>E. 6</w:t>
      </w:r>
    </w:p>
    <w:p>
      <w:r>
        <w:t>Dato l'esito del ricorso, non vengono prelevate spese processuali. In base all'art. 64 PA, l'autorità di ricorso, se ammette il ricorso in tutto o in parte, può assegnare al ricorrente un'indennità per le spese indispensabili e relativamente elevate che ha sopportato. Tenuto conto degli atti di causa, si giustifica riconoscere al ricorrente un'indennità per spese ripetibili di Fr. 800.-, la quale viene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