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C-6350/2011 vom 9. Juli 2013</w:t>
      </w:r>
    </w:p>
    <w:p>
      <w:r>
        <w:t>Bundesverwaltungsgericht, 2013-07-09, DE</w:t>
      </w:r>
    </w:p>
    <w:p>
      <w:r>
        <w:rPr>
          <w:b/>
        </w:rPr>
        <w:t xml:space="preserve">Quelle: </w:t>
      </w:r>
      <w:r>
        <w:t>https://mcp.opencaselaw.ch/entscheid/bvger_C-6350_2011</w:t>
      </w:r>
    </w:p>
    <w:p>
      <w:r>
        <w:t>FR: TAF C-6350/2011 du 9 juillet 2013</w:t>
      </w:r>
    </w:p>
    <w:p>
      <w:r>
        <w:t>IT: TAF C-6350/2011 del 9 luglio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thailändischen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thailändischen Staatsangehörigkeit unterliegt die Gesuchstellerin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6.1</w:t>
      </w:r>
    </w:p>
    <w:p>
      <w:r>
        <w:t>Auch wenn die Gesuchstellerin in unmittelbarer Umgebung des touristisch geprägten Badeorts Pattaya (Provinz Chonburi) und damit in einer Region lebt, die im landesweiten Vergleich wirtschaftlich gut abschneidet (vgl. www.thaiwebsites.com Economy and Politics in Thailand GDP of Thai Regions and Provinces, besucht im Mai 2013), so kann dennoch nicht darüber hinweggegangen werden, dass in Thailand breite Schichten der Bevölkerung von kargen ökonomischen und sozialen Lebensbedingungen betroffen sind. Der Druck zur wirtschaftlichen Existenzsicherung trifft dabei Frauen ganz besonders. Sie müssen mit ihrem Einkommen oft ganze Familien unterhalten. Auf der anderen Seite sind in Zeiten angespannter wirtschaftlicher Verhältnisse gerade ihre Arbeitsplätze - je nach Sektor - besonders gefährdet.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&gt; Drucksachen; zu den wirtschaftlichen Eckdaten allgemein vgl. Staatssekretariat für Wirtschaft &gt; Themen &gt; Aus­senwirtschaft &gt; Länderinformationen &gt; Asien/Ozeanien &gt; Thailand, http://www.seco.admin.ch&gt;, Stand: Februar 2013, besucht im Mai 2013).</w:t>
      </w:r>
    </w:p>
    <w:p>
      <w:r>
        <w:rPr>
          <w:b/>
        </w:rPr>
        <w:t>E. 6.2</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Dabei stehen nicht etwa - wie vom Beschwerdeführer angenommen - Asylgesuche, sondern Heiraten, Ausbildungsprojekte und Ähnliches im Vordergrund. Solche allgemeinen Erfahrungen können beim Entscheid über die Erteilung eines Visums mit berücksichtigt werden.</w:t>
      </w:r>
    </w:p>
    <w:p>
      <w:r>
        <w:rPr>
          <w:b/>
        </w:rPr>
        <w:t>E. 6.3</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Der Beschwerdeführer macht unter Verweis auf die sozialen, familiären und wirtschaftlichen Verhältnisse vor Ort sowie den Zweck der beabsichtigten Reise eine Verwurzelung der Gesuchstellerin in ihrem angestammten Lebensumfeld geltend, die ernsthafte Zweifel an der Gewähr für eine Wiederausreise ausschliesse. Seine Darstellung der Verhältnisse gilt es aber - wie im Folgenden zu zeigen ist - in verschiedener Hinsicht zu relativieren.</w:t>
      </w:r>
    </w:p>
    <w:p>
      <w:r>
        <w:rPr>
          <w:b/>
        </w:rPr>
        <w:t>E. 7.2</w:t>
      </w:r>
    </w:p>
    <w:p>
      <w:r>
        <w:t>Die Gesuchstellerin lebt in einer Grossfamilie von mehr als zehn Personen (nebst den Grosseltern die Halbschwester, eine Tante und ein Onkel je mit eigenen Familien). Zwar wird geltend gemacht, sie sei in dieser Struktur hierarchisch verankert und nehme in Bezug auf die Kinder Betreuungsaufgaben wahr, die wegen der Berufstätigkeit der Eltern sonst nur von der Grossmutter erbracht werden könnten. Diese Darstellung kann nicht darüber hinweg täuschen, dass Kinderbetreuung in einer derart grossen Familiengemeinschaft auf verschiedene Art organisiert werden kann. Dies zeigt sich nicht zuletzt gerade im Umstand, dass der Gesuchstellerin eine dreimonatige Landesabwesenheit möglich sein soll. Irgend welche Umstände, die auf eine eigentliche Abhängigkeit der Angehörigen von der Gesuchstellerin schliessen liessen, ergeben sich aus den Akten nicht und werden vom Beschwerdeführer auch nicht behauptet.</w:t>
      </w:r>
    </w:p>
    <w:p>
      <w:r>
        <w:rPr>
          <w:b/>
        </w:rPr>
        <w:t>E. 7.3</w:t>
      </w:r>
    </w:p>
    <w:p>
      <w:r>
        <w:t>Die Gesuchstellerin befindet sich noch in Ausbildung und muss von der Mutter zumindest teilweise unterstützt werden. Daran wird sich in nächster Zeit kaum etwas ändern. Über ihre beruflichen Ziele ist nichts Konkretes bekannt. Entsprechend lässt sich nicht abschätzen, wie ihre Chancen für eine wirtschaftliche Selbständigkeit in Thailand stehen.</w:t>
      </w:r>
    </w:p>
    <w:p>
      <w:r>
        <w:rPr>
          <w:b/>
        </w:rPr>
        <w:t>E. 7.4</w:t>
      </w:r>
    </w:p>
    <w:p>
      <w:r>
        <w:t>Entgegen der Darstellung des Beschwerdeführers kann auch nicht ohne Weiteres davon ausgegangen werden, dass die Mitglieder der Grossfamilie der Gesuchstellerin in besonders komfortablen wirtschaftlichen Verhältnissen leben. Zwar bewohnen sie das Haus der Mutter und des Stiefvaters der Gesuchstellerin, welches - aus den edierten Fotos zu schliessen - offensichtlich über einen gewissen Komfort verfügt. Andererseits dürften die Wohnverhältnisse angesichts der Grösse der Familieneinheit eher beengend sein und müssen Mutter und Stiefvater aus der Schweiz immer noch für Kosten im Zusammenhang mit der Liegenschaft aufkommen. Das scheint umso bemerkenswerter, als mit Ausnahme der Gesuchstellerin alle erwachsenen Personen der Grossfamilie einer Erwerbstätigkeit nachgehen sollen und die Mutter selbst und ihr Partner in der Schweiz in eher bescheidenen Verhältnissen leben: Sie bewohnen in X_______ eine Zweizimmerwohnung und treten weder als Gastgeber noch als Garanten für die Gesuchstellerin auf.</w:t>
      </w:r>
    </w:p>
    <w:p>
      <w:r>
        <w:rPr>
          <w:b/>
        </w:rPr>
        <w:t>E. 7.5</w:t>
      </w:r>
    </w:p>
    <w:p>
      <w:r>
        <w:t>Zu relativieren gilt es auch die Darstellungsweise des Beschwerdeführers, wonach die Ausbildung der Gesuchstellerin in Thailand deren Mutter besonders am Herzen liege. Immerhin hat die Mutter offenbar in den Jahren 2007 und 2009 erfolglos versucht, ihrer Tochter zu einem Aufenthaltsrecht in der Schweiz zu verhelfen (im Familiennachzug bzw. zu Ausbildungszwecken).</w:t>
      </w:r>
    </w:p>
    <w:p>
      <w:r>
        <w:rPr>
          <w:b/>
        </w:rPr>
        <w:t>E. 7.6</w:t>
      </w:r>
    </w:p>
    <w:p>
      <w:r>
        <w:t>Vor dem dargelegten persönlichen Hintergrund durfte die Vorinstanz davon ausgehen, dass keine hinreichende Gewähr für eine fristgerechte und anstandslose Wiederausreise der Gesuchstellerin nach einem Besuchsaufenthalt besteht.</w:t>
      </w:r>
    </w:p>
    <w:p>
      <w:r>
        <w:rPr>
          <w:b/>
        </w:rPr>
        <w:t>E. 7.7</w:t>
      </w:r>
    </w:p>
    <w:p>
      <w:r>
        <w:t>Zur Einholung einer Verpflichtungserklärung des Gastgebers und Garanten (Antrag in der Beschwerde) bestand für das Bundesverwaltungsgericht kein Anlass. Eine solche kann gemäss Art. 7 ff. VEV zum Nachweis ausreichender finanzieller Mittel eingefordert werden, was vorliegend auch geschah. Das Formular "Unterhaltsgarantie für Besuchsaufenthalt" wurde vom Beschwerdeführer in seiner Eigenschaft als Gastgeber und Garant am 26. September 2011 ausgefüllt und unterzeichnet. Seine Garantiefähigkeit wurde anschliessend von der Wohnsitzgemeinde bestätigt. Demgegenüber kann der Beschwerdeführer nicht in einer rechtlich verbindlichen Form für das korrekte Verhalten seines Gastes einstehen.</w:t>
      </w:r>
    </w:p>
    <w:p>
      <w:r>
        <w:rPr>
          <w:b/>
        </w:rPr>
        <w:t>E. 7.8</w:t>
      </w:r>
    </w:p>
    <w:p>
      <w:r>
        <w:t>Ebenfalls kein Anlass bestand für das Bundesverwaltungsgericht, gestützt auf die Vorbringen des Beschwerdeführers im Rechtsmittelverfahren von der Migrationsbehörde an seinem Wohnsitz eine nochmalige Stellungnahme einzuverlangen. Die Vorinstanz hatte Gelegenheit, sich im Rahmen des Vernehmlassungsverfahrens mit den Vorbringen des Beschwerdeführers auseinanderzusetzen. Im Übrigen trifft nicht zu, dass sie sich bei ihrem Entscheid über die Einsprache gegen eine Visumsverweigerung massgeblich von der Haltung der kantonalen Migrationsbehörde am Wohnort des Gastgebers beeinflussen lässt. Gerade wenn es um die Einschätzung des Risikos für eine nicht fristgerechte Wiederausreise geht, stützt sie sich in aller Regel schwergewichtig auf die Beurteilung durch die schweizerischen Auslandvertretungen vor Ort.</w:t>
      </w:r>
    </w:p>
    <w:p>
      <w:r>
        <w:rPr>
          <w:b/>
        </w:rPr>
        <w:t>E. 7.9</w:t>
      </w:r>
    </w:p>
    <w:p>
      <w:r>
        <w:t>Mit der fehlenden Gewähr für eine anstandslose Wiederausreise ist eine zwingende Voraussetzung zur Erteilung eines Schengen-Visums nicht erfüllt. Gründe für die Ausstellung eines Visums mit räumlich beschränkter Gültigkeit (vgl. dazu Ziffer 4.5) wurden vom Beschwerdeführer nicht geltend gemacht und solche sind auch nicht ersichtlich. Mutter und Tochter sehen sich nach Darstellung des Beschwerdeführers regelmässig mehrmals jährlich in Thailand.</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