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C-6350/2010 vom 4. Januar 2013</w:t>
      </w:r>
    </w:p>
    <w:p>
      <w:r>
        <w:t>Bundesverwaltungsgericht, 2013-01-04, DE</w:t>
      </w:r>
    </w:p>
    <w:p>
      <w:r>
        <w:rPr>
          <w:b/>
        </w:rPr>
        <w:t xml:space="preserve">Quelle: </w:t>
      </w:r>
      <w:r>
        <w:t>https://mcp.opencaselaw.ch/entscheid/bvger_C-6350_2010</w:t>
      </w:r>
    </w:p>
    <w:p>
      <w:r>
        <w:t>FR: TAF C-6350/2010 du 4 janvier 2013</w:t>
      </w:r>
    </w:p>
    <w:p>
      <w:r>
        <w:t>IT: TAF C-6350/2010 del 4 gennaio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des Bundesgesetzes vom 25. Juni 1982 über die berufliche Alters-, Hinterlassenen- und Invalidenvorsorge [BVG, SR 831.40])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5. August 2010, welcher eine Verfügung im Sinne von Art. 5 Abs. 1 VwVG darstellt. Der Beschwerdeführer ist als Verfügungsadressat durch die angefochtene Verfügung besonders berührt und hat ein schutzwürdiges Interesse an deren Änderung oder Aufhebung, sodass er zur Beschwerde legitimiert ist (Art. 48 Abs. 1 VwVG). Er hat frist- und formgerecht (Art. 50 und 52 VwVG) Beschwerde erhoben. Nachdem auch der Kostenvorschuss fristgerecht geleistet wurde, ist grundsätzlich auf die Beschwerde einzutreten.</w:t>
      </w:r>
    </w:p>
    <w:p>
      <w:r>
        <w:rPr>
          <w:b/>
        </w:rPr>
        <w:t>E. 1.3</w:t>
      </w:r>
    </w:p>
    <w:p>
      <w:r>
        <w:t>Die vom Beschwerdeführer erhobene Rüge, er sei vorschriftsgemäss dem BVG angeschlossen gewesen, erweiset sich als verspätet, zumal er diese bereits gegen die Zwangsanschlussverfügung der Vorinstanz vom 4. Februar 2009 hätte erheben müssen. Die Zwangsanschlussverfügung ist jedoch unangefochten in Rechtskraft erwachsen, weshalb insoweit auf die Beschwerde nicht einzutreten ist.</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Beschwerdeführer macht geltend, das Entstehen von BVG-Beitragsschulden für das Jahr 2006 sei ausgeschlossen, da im Januar 2006 der Konkurs über ihn eröffnet worden sei. Die Vorinstanz habe für ihre Forderung keine Konkurseingabe gemacht. Somit sei die Forderung untergegangen. Der Handelsregistereintrag sei gelöscht worden und seine Handlungsfähigkeit für die Einzelfirma B._______ sei untergegangen.</w:t>
      </w:r>
    </w:p>
    <w:p>
      <w:r>
        <w:rPr>
          <w:b/>
        </w:rPr>
        <w:t>E. 3.1</w:t>
      </w:r>
    </w:p>
    <w:p>
      <w:r>
        <w:t>Zunächst ist darauf hinzuweisen, dass die Vorinstanz zwecks Erfüllung ihrer Aufgaben als Auffangeinrichtung (Beitrags- und Zinserhebung sowie Geltendmachung von Schadenersatz im Zusammenhang mit Leistungen vor dem Anschluss) grundsätzlich nicht nur zuständig ist, über den Bestand sowie den Umfang ihrer Forderungen gegenüber Arbeitgebern Verfügungen zu erlassen, die vollstreckbaren Urteilen im Sinne von Art. 80 SchKG gleichgestellt sind (vgl. Art. 60 BVG i.V.m. Art. 12 BVG; vgl. auch Art. 54 Abs. 4 BVG i.V.m. Art. 1 Abs. 2 Bst. e VwVG). Als Rechtsöffnungsinstanz kann die Vorinstanz grundsätzlich auch die Aufhebung eines Rechtsvorschlages gegen eine von ihr in Betreibung gesetzte Forderung verfügen (vgl. Urteile des Bundesgerichts 5A_315/2007 und 5A_316/2007 vom 13. Dezember 2007, jeweils E. 3 mit Hinweisen; vgl. auch BGE 119 V 329 E. 2 mit Hinweisen und Urteil des BVGer C-6790/2008 vom 2. Dezember 2010 E. 4).</w:t>
      </w:r>
    </w:p>
    <w:p>
      <w:r>
        <w:rPr>
          <w:b/>
        </w:rPr>
        <w:t>E. 3.2</w:t>
      </w:r>
    </w:p>
    <w:p>
      <w:r>
        <w:t>Weiter ist festzuhalten, dass vor dem Anschluss eines Arbeitgebers an eine bestimmte BVG-Vorsorgeeinrichtung keine (Beitrags-)Forderun­gen entstehen und fällig werden können (vgl. hierzu Urteil des Bundesge­richts 9C_655/2008 vom 2. September 2009 E. 3.2). Neue Betreibungen für Forderungen, die vor einer Konkurseröffnung entstanden sind, können - abgesehen von vorliegend irrelevanten Ausnahmen - während des Konkursverfahrens nicht eingeleitet werden (vgl. zur Einleitung der Betreibung mittels Betreibungsbegehren Art. 67 SchKG sowie MYRIAM A. GEHRI, in: Daniel Hunkeler [Hrsg.], Kommentar zum Schuldbetreibungs- und Konkursgesetz, Zürich 2008 [nachfolgend: SchKG-Kommentar], Rz. 1 zu Art. 67). Ferner bewirkt eine Konkurseröffnung die Aufhebung aller zu diesem Zeitpunkt gegen den Schuldner hängigen Betreibungen (vgl. Art. 206 Abs. 1 SchKG sowie KURT STÖCKLI/ PHILIPP POSSA, in: SchKG-Kommentar, Rz. 8 f. zu Art. 206 und BGE 93 III 55 E. 3 mit Hinweisen). Betreibungen für Forderungen, die nach der Konkurseröffnung entstanden sind, werden indes während des laufenden Konkursverfahrens, und somit nur bis zu dessen gerichtlichem Abschluss (vgl. Art. 268 Abs. 2 und 4 SchKG sowie GUIDO NÄF, in SchKG-Kommentar, Rz. 1 ff. zu Art. 268) fortgesetzt - und zwar durch Pfändung oder Pfandverwertung (vgl. Art. 206 Abs. 2 SchKG; BGE 121 III 382 E. 2 ff. und BGE 93 III 55 E. 1, je mit Hinweisen; KURT STÖCKLI/PHILIPP POSSA, in: SchKG-Kommentar, Rz. 19 zu Art. 206).</w:t>
      </w:r>
    </w:p>
    <w:p>
      <w:r>
        <w:rPr>
          <w:b/>
        </w:rPr>
        <w:t>E. 3.3</w:t>
      </w:r>
    </w:p>
    <w:p>
      <w:r>
        <w:t>Vorliegend wurde der Beschwerdeführer mit rechtskräftiger Verfügung der Vorinstanz vom 4. Februar 2009 rückwirkend per 1. Januar 2006 der Stiftung Auffangeinrichtung BVG angeschlossen (act. 18). Angesichts der vorstehenden Darlegungen konnte daher frühestens im Zeitpunkt des Zwangsanschlusses vom 4. Februar 2009 eine rückwirkende Forderung der Vorinstanz gegenüber dem Beschwerdeführer entstehen - also sowohl nach der Konkurseröffnung am 26. Januar 2006 als auch nach dem Abschluss des Konkursverfahrens am 27. August 2007. Die Vorinstanz hat die geltend gemachte Forderung somit erst nach Abschluss des den Beschwerdeführer betreffenden Konkursverfahrens in Betreibung gesetzt (act. 23). Demnach findet Art. 206 Abs. 1 und 2 SchKG vorliegend keine Anwendung. Die Vorinstanz war somit nicht nur berechtigt, die von ihr geltend gemachte Forderung nach Abschluss des Konkursverfahrens in Betreibung zu setzen; sie war auch zuständig zum Erlass der angefochtenen Verfügung. Entgegen der Auffassung des Beschwerdeführers vermag daran auch der Umstand nichts zu ändern, dass der Handelsregistereintrag der Einzelfirma B._______ zwischenzeitlich gelöscht worden ist. So richtete sich die eingeleitete Betreibung der Vorinstanz denn auch richtigerweise gegen den Beschwerdeführer und nicht gegen die gelöschte Einzelfirma. Die Beschwerde erweist sich in dieser Hinsicht als unbegründet.</w:t>
      </w:r>
    </w:p>
    <w:p>
      <w:r>
        <w:rPr>
          <w:b/>
        </w:rPr>
        <w:t>E. 4</w:t>
      </w:r>
    </w:p>
    <w:p>
      <w:r>
        <w:t>Weiter moniert der Beschwerdeführer, die Vorinstanz habe die angefochtene Verfügung nicht nachvollziehbar bzw. rechtsgenüglich begründet. Das Schreiben vom 5. August 2010 erfülle die Anforderungen an eine gültige Verfügung im Rechtssinn nicht. So sei nicht aufgeführt für welchen Zeitraum die Beiträge geschuldet seien und wie sich diese zusammensetzten. Zudem sei die Faktura, auf welche verwiesen worden sei, der Verfügung nicht beigelegen.</w:t>
      </w:r>
    </w:p>
    <w:p>
      <w:r>
        <w:rPr>
          <w:b/>
        </w:rPr>
        <w:t>E. 4.1</w:t>
      </w:r>
    </w:p>
    <w:p>
      <w:r>
        <w:t>Die Begründungspflicht ist ein Teilgehalt des verfassungsmässigen Anspruchs auf rechtliches Gehör gemäss Art. 29 Abs. 2 der Bundesverfassung der Schweizerischen Eidgenossenschaft vom 18. April 1999 (BV, SR 101; vgl. auch Art. 35 Abs. 1 VwVG sowie ULRICH HÄFELIN/WALTER HALLER/HELEN KELLER, Schweizerisches Bundesstaatsrecht, 7. Aufl., Zürich 2008,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Erforderlich ist, dass sich aus der Gesamtheit der Begründung ergibt, weshalb die Behörde den Vorbringen der Partei nicht folgen konnte. Die Anforderungen an die Begründungsdichte sind je nach Komplexität des Sachverhalts und/oder des der Behörde eingeräumten Ermessensspielraums unter-schiedlich (vgl. zum Ganzen BGE 125 II 369 E. 2c, BGE 124 V 180 E. 1a und BGE 117 IV 401 E. 4b, je mit Hinweisen).</w:t>
      </w:r>
    </w:p>
    <w:p>
      <w:r>
        <w:rPr>
          <w:b/>
        </w:rPr>
        <w:t>E. 4.2</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 wie vorliegend das Bundesverwaltungsgericht - mit der gleichen Prüfungsbefugnis entscheidet wie die untere Instanz (vgl. E. 2.3 hiervor).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4.3</w:t>
      </w:r>
    </w:p>
    <w:p>
      <w:r>
        <w:t>In der angefochtenen Verfügung vom 5. August 2010 äusserte sich die Vorinstanz zwar zur Zusammensetzung ihrer Forderung von total Fr. 6'865.30, bestehend aus Fr. 6'645.30 gemäss Faktura (...) fällig seit 31. März 2010, Mahn- und Inkassokosten von Fr. 150.-- und Betreibungskosten von Fr. 70.--, zuzüglich 5% Sollzinsen auf Fr. 6'645.30 seit dem 31. März 2010. Eine weitergehende Begründung des Bestandes und der Höhe dieser Forderung fehlt jedoch. Die Vorinstanz hielt einzig fest, der Beschwerdeführer sei verpflichtet, die in Rechnung gestellten Beiträge und Kosten "gemäss Verfügung" innert vorgeschriebener Frist zu bezahlen (act. 24). Angesichts dieser Begründung war und ist indessen eine sachgerechte Anfechtung der streitigen Verfügung - auch unter Heranziehung bzw. Berücksichtigung der übrigen aktenkundigen Dokumente - keineswegs gewährleistet.</w:t>
      </w:r>
    </w:p>
    <w:p>
      <w:r>
        <w:rPr>
          <w:b/>
        </w:rPr>
        <w:t>E. 4.4</w:t>
      </w:r>
    </w:p>
    <w:p>
      <w:r>
        <w:t>So kann anhand der Rechnung Nr. (...) vom 2. Februar 2010 über total Fr. 6'645.30, auf die in der angefochtenen Verfügung zwecks Begründung des Forderungsbetrages von Fr. 6'865.30 explizit verwiesen wird, mangels weitergehender Substantiierung nicht nachvollzogen werden, auf welche Periode sich das Forderungstotal "Personalmutationen Vorperioden" in der Höhe von Fr. 5'620.30 bezieht. In dieser Rechnung wird die Periode vom 1. Januar 2010 bis zum 31. März 2010 genannt (act. 19). Demgegenüber findet sich in den Details zu dieser Rechnung bei den unter der Rubrik "Aktive Versicherte" aufgeführten Arbeitnehmern F._______ und G._______ der Hinweis, dass es sich um Beiträge "aus Mutationen und Vorjahr" handle (act. 19). Wiederum abweichend davon, stellte die Vorinstanz in ihrer Zwangsanschlussverfügung vom 4. Februar 2009 ohne Angabe eines genauen Zeitraums fest, es sei davon auszugehen, dass mit der Konkurseröffnung am 26. Januar 2006 die Arbeitsverhältnisse der Arbeitnehmer aufgehoben worden seien; die Arbeitnehmer hätten somit Anspruch auf die Freizügigkeitsleistung gemäss Art. 27 ff. BVG, sofern sie dem Obligatorium unterstellt gewesen seien und spätestens am 1. Januar 2006 das 25. Altersjahr vollendet hätten; den AHV-Lohnbescheinigungen des Jahres 2006 könne entnommen werden, dass diese Voraussetzung bei mindestens einem Angestellten erfüllt gewesen sei; der Arbeitgeber habe jedoch im Zeitpunkt der Konkurseröffnung entgegen der Vorsorgepflicht gemäss Art. 11 Abs. 1 BVG über keine in das Register für die berufliche Vorsorge eingetragene Vorsorgeeinrichtung verfügt; der Arbeitgeber schulde der Vorinstanz die entsprechenden Beiträge samt Verzugszins (act. 18). In einem Schreiben der IV-Stelle H._______ vom 16. April 2007 sind zudem die von der Einzelfirma B._______ ausgerichteten Bruttolöhne von Januar 2006 bis Juli 2006 aufgeführt (act. 6). Demgegenüber erwähnt die IV-Stelle H._______ in ihrem Schreiben vom 5. Februar 2007 die Periode vom 1. Januar 2006 bis zum 31. August 2006 (act. 5). Im Begleitschreiben vom 3. Februar 2010 zur Rechnung Nr. (...) führte die Vorinstanz zudem aus, sie werde den Anschluss rückwirkend per 31. August 2006 auflösen, sobald die Beiträge bezahlt seien (act. 21). Die Akten erlauben somit keine zuverlässigen Rückschlüsse darauf, für welche Beitragsperiode dieser Betrag geschuldet sein soll.</w:t>
      </w:r>
    </w:p>
    <w:p>
      <w:r>
        <w:rPr>
          <w:b/>
        </w:rPr>
        <w:t>E. 4.5</w:t>
      </w:r>
    </w:p>
    <w:p>
      <w:r>
        <w:t>Weiter ist aus der Rechnung Nr. (...) vom 2. Februar 2010 nicht ersichtlich, gestützt auf welche Grundlagen die BVG-pflichtigen Löhne ermittelt und wie die geschuldeten Beiträge berechnet worden sind. 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 Arbeitnehmer, die im Jahre 2006 einen Jahreslohn von mehr als Fr. 19'350.-- bezogen, unterstanden ab 1. Januar nach Vollendung des 17. Altersjahres für die Risiken Tod und Invalidität, und ab 1. Januar nach Vollendung des 24. Altersjahres auch für das Alter, der obligatorischen Versicherung (vgl. Art. 7 Abs. 1 BVG i.V.m. Art. 5 der Verordnung vom 18. April 1984 über die berufliche Alters-, Hinterlassenen- und Invaliden-vorsorge [BVV2, SR 831.441.1], jeweils in den bis Ende 2006 gültig ge-wesenen Fassungen [AS 2004 1678 und AS 2004 4643]). Zu versichern im Jahre 2006 war der koordinierte Lohn bzw. der Teil des Bruttojahres-lohnes gemäss Bundesgesetz vom 20. Dezember 1946 über die Alters- und Hinterlassenenversicherung (AHVG, SR 831.10) von Fr. 22'575.-- bis und mit Fr. 77'400.-- (vgl. Art. 7 Abs. 2 BVG und Art. 8 Abs. 1 und 2 BVG i.V.m. Art. 5 BVV2, jeweils in den für das Jahr 2006 gültig gewesenen Fassungen [AS 2004 1678 und 2004 4643]). Für die Berechnung der Beiträge an die berufliche Vorsorge analog zur Versicherungsunterstellung (vgl. Art. 7 Abs. 2 BVG) ist der massgebende Lohn nach AHVG heranzuziehen. Die Vorinstanz ist demnach an die Lohnbescheinigungen der Ausgleichskasse gebunden und hat darauf abzustellen (vgl. zur Massgeblichkeit der Jahresabrechnung der zuständigen Ausgleichskasse Urteil des Bundesverwaltungsgerichts C-4800/2008 6. April 2009, E. 6.1). Vorliegend sind die Lohnbescheinigungen der Ausgleichskassen für die Arbeitnehmer F._______ und G._______ nicht aktenkundig. In den Akten finden sich einzig Lohn- und Spesenabrechnungen der Monate Januar 2006 bis Juli 2006. Auf ca. der Hälfte der aktenkundigen Lohnabrechnungen findet sich der Briefkopf der Einzelfirma B._______. Auf den übrigen Lohn- und den Spesenabrechnungen findet sich entweder gar kein Briefkopf oder derjenige einer I._______. Auch der zur Bestimmung der Höhe des Jahresbeitrages 2006 ebenfalls erforderliche reglementarische Beitragssatz der Vorinstanz ist nicht aktenkundig (vgl. hierzu etwa Urteil des BVGer C-7758/2010 vom 17. August 2012 E. 3.3.1), sodass sich das Forderungstotal von Fr. 5'620.30 aufgrund der Akten auch aus dieser Sicht nicht verifizieren lässt.</w:t>
      </w:r>
    </w:p>
    <w:p>
      <w:r>
        <w:rPr>
          <w:b/>
        </w:rPr>
        <w:t>E. 4.6</w:t>
      </w:r>
    </w:p>
    <w:p>
      <w:r>
        <w:t>Demnach ist festzuhalten, dass das "Total Personalmutationen Vorperioden" von Fr. 5'620.30 nicht nachvollziehbar ist, weshalb sich der in der angefochtenen Verfügung statuierte Fakturabetrag von Fr. 6'645.30 als nicht genügend begründet erweist. Infolge Akzessorietät des Verzugszinses vom Bestand und der Höhe der ihm zugrunde liegenden Forderung (vgl. hierzu etwa Urteil des BGer H 298/03 vom 10. Mai 2004 E. 4, BGE 119 V 78 E. 1 und BGE 118 II 363, S. 365 in fine) muss dies auch für den von der Vorinstanz auf diesem Betrag ab dem 31. März 2010 geltend gemachten Verzugszins von 5% gelten (vgl. act. 24). Im Weiteren ist zu bemängeln, dass die in der angefochtenen Verfügung statuierte Position "Mahn- und Inkassokosten" von Fr. 150.-- sich aufgrund der Akten ebenfalls nicht als nachvollziehbar begründet erweist. Gemäss Kostenreglement können zwar eine Betreibung mit Fr. 100.-- und eine eingeschriebene Mahnung mit Fr. 50.-- in Rechnung gestellt werden (act. 18). Eine Kostenerhebung von Fr. 50.-- wäre aber nur dann zulässig, wenn die Vorinstanz den Beschwerdeführer tatsächlich per Einschreiben abgemahnt hätte (vgl. hierzu Urteil des BVGer C-7809/2009 vom 29. März 2012 E. 12.2). Eine eingeschriebene Abmahnung des Beschwerdeführers nach Zustellung der Rechnung vom 2. Februar 2010 (act. 19) ist zwar aktenkundig (act. 22). Obwohl die Vorinstanz über den Konkurs des Beschwerdeführers informiert war, hat sie diese Mahnung jedoch an die Adresse der zu diesem Zeitpunkt bereits gelöschten Einzelfirma B._______ gesendet, was dem Beschwerdeführer nicht angelastet werden kann. Die Mahnung wurde denn auch mit dem Vermerk der Post "Weggezogen. Nachsendefrist abgelaufen" an die Vorinstanz retourniert (act. 22). Ein erneuter Zustellungsversuch an die richtige Adresse des Beschwerdeführers ist nicht aktenkundig. Ferner ist zu beanstanden, dass die Vorinstanz in der angefochtenen Verfügung unter dem Titel "Betreibungskosten" auch Kosten für den Zahlungsbefehl vom 2. August 2010 in Höhe von Fr. 70.-- geltend gemacht hat (act. 23 und 24). Kosten für einen Zahlungsbefehl können nicht in eine Rechtsöffnung miteinbezogen werden, da sie jeweils vom Gläubiger, vorliegend also von der Vorinstanz, vorzuschiessen sind (Art. 68 Abs. 1 zweiter Satz SchKG) und eine endgültige Belastung des Schuldners mit sämtlichen Betreibungskosten (vgl. hierzu Art. 68 Abs. 1 erster Satz SchKG; vgl. auch BGE 119 III 63 sowie MYRIAM A. GEHRI, in SchKG-Kommentar, Rz. 2 zu Art. 68) jeweils vom Ausgang des Betreibungsverfahrens abhängt (vgl. Pra 73 Nr. 195 sowie zum Ganzen Urteile des BVGer C-7809/2009 vom 29. März 2012 E. 12.3 und C-2381/2006 vom 27. Juli 2007 E. 8). Ferner können die als Verwaltungsgebühren zu qualifizierenden Verfügungsgebühren über Fr. 450.-- dem Beschwerdeführer nur im Falle eines ungerechtfertigten Rechtsvorschlags auferlegt werden, was mit Blick auf die vorstehenden Erwägungen keineswegs erstellt ist (vgl. hierzu act. 18 sowie ULRICH HÄFELIN/Georg Müller/Felix Uhlmann, Allgemeines Verwaltungsrecht, 5. Aufl., Zürich/Basel/Genf 2006, Rz. 2626 ff.; vgl. auch das Urteil des BVGer C-6790/2008 E. 5.3).</w:t>
      </w:r>
    </w:p>
    <w:p>
      <w:r>
        <w:rPr>
          <w:b/>
        </w:rPr>
        <w:t>E. 4.7</w:t>
      </w:r>
    </w:p>
    <w:p>
      <w:r>
        <w:t>Demnach ist im Ergebnis festzuhalten, dass die mit angefochtener Verfügung geltend gemachte Forderung und die Aufhebung des Rechtsvorschlags vom 5. August 2010 mangels hinreichender Begründung nicht nachvollzogen werden können. Die Vorinstanz hat damit ihre Begründungspflicht in schwerwiegender Weise verletzt. Eine Heilung dieser Gehörsverletzung ist mit Blick auf die Umstände, dass zum einen der Rechtsvertreter des Beschwerdeführers diesbezüglich eine Rückweisung beantragt, sowie dass zum anderen die Vorinstanz in ihrer Vernehmlassung vom 24. September 2010 keine die Begründung der angefochtenen Verfügung ergänzenden neuen Ausführungen gemacht hat und schliesslich vorliegend eine Rückweisung keineswegs als formalistischer Leerlauf zu qualifizieren ist, im vorliegenden Beschwerdeverfahren nicht möglich (vgl. hierzu auch Urteile des BVGer C-7809/2009 vom 29. März 2012 E. 13 und C-6034/2009 vom 20. Januar 2010 E. 4.3.2). Die Beschwerde ist deshalb insoweit gutzuheissen, als die Verfügung vom 5. August 2010 aufgehoben und die Sache an die Vorinstanz zurückgewiesen wird, damit sie eine neue Verfügung mit einer den gesetzlichen Anforderungen genügenden Begründung erlasse.</w:t>
      </w:r>
    </w:p>
    <w:p>
      <w:r>
        <w:rPr>
          <w:b/>
        </w:rPr>
        <w:t>E. 5</w:t>
      </w:r>
    </w:p>
    <w:p>
      <w:r>
        <w:t>Zu befinden bleibt noch über die Verfahrenskosten und eine allfällige Parteientschädigung.</w:t>
      </w:r>
    </w:p>
    <w:p>
      <w:r>
        <w:rPr>
          <w:b/>
        </w:rPr>
        <w:t>E. 5.1</w:t>
      </w:r>
    </w:p>
    <w:p>
      <w:r>
        <w:t>Da eine Rückweisung praxisgemäss als Obsiegen der beschwerdeführenden Partei gilt, sind keine Verfahrenskosten zu erheben (vgl. Art. 63 Abs. 1 und 2 VwVG; BGE 132 V 215 E. 6.1). Der bereits geleistete Verfahrenskostenvorschuss von Fr. 700.-- ist dem Beschwerdeführer nach Eintritt der Rechtskraft des vorliegenden Urteils zurückzuerstatten.</w:t>
      </w:r>
    </w:p>
    <w:p>
      <w:r>
        <w:rPr>
          <w:b/>
        </w:rPr>
        <w:t>E. 5.2</w:t>
      </w:r>
    </w:p>
    <w:p>
      <w:r>
        <w:t>Dem anwaltlich vertretenen Beschwerdeführer ist gemäss Art. 64 Abs. 1 VwVG in Verbindung mit Art. 7 ff. des Reglements vom 21. Februar 2008 über die Kosten und Entschädigungen vor dem Bundesverwaltungsgericht (VGKE, SR 173.320.2) eine von der Vorinstanz zu entrichtende Parteientschädigung zuzusprechen, welche unter Berücksichtigung des gebotenen und aktenkundigen Aufwands auf Fr. 2'000.--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