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C-6344/2008 vom 15. Dezember 2010</w:t>
      </w:r>
    </w:p>
    <w:p>
      <w:r>
        <w:t>Bundesverwaltungsgericht, 2010-12-15, DE</w:t>
      </w:r>
    </w:p>
    <w:p>
      <w:r>
        <w:rPr>
          <w:b/>
        </w:rPr>
        <w:t xml:space="preserve">Quelle: </w:t>
      </w:r>
      <w:r>
        <w:t>https://mcp.opencaselaw.ch/entscheid/bvger_C-6344_2008</w:t>
      </w:r>
    </w:p>
    <w:p>
      <w:r>
        <w:t>FR: TAF C-6344/2008 du 15 décembre 2010</w:t>
      </w:r>
    </w:p>
    <w:p>
      <w:r>
        <w:t>IT: TAF C-6344/2008 del 15 dicembre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materieller Verfügungsadressat zur Ergreifung des Rechtsmittels legitimiert (Art. 48 Abs. 1 VwVG). Auf die frist- und formgerecht eingereichte Beschwerde ist somit einzutreten (Art. 50 und 52 VwVG).</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Das in Art. 67 des Bundesgesetzes vom 16. Dezember 2005 über die Ausländerinnen und Ausländer (AuG, SR 142.20) geregelte Einreiseverbot entspricht der altrechtlichen Einreisesperre des Art. 13 des Bundesgesetzes vom 26. März 1931 über den Aufenthalt und die Niederlassung der Ausländer (ANAG, BS 1 121). Es kann nach Art. 67 Abs. 1 AuG vom BFM gegenüber ausländischen Personen verfügt werden, die gegen die öffentliche Sicherheit und Ordnung in der Schweiz oder im Ausland verstossen haben oder diese gefährden (Bst. a), Sozialhilfekosten verursacht haben (Bst. b), ausgeschafft worden sind (Bst. c) oder in Vorbereitungs-, Ausschaffungs- oder Durchsetzungshaft genommen werden mussten (Bst. d). Das Einreiseverbot wird befristet oder in schwerwiegenden Fällen unbefristet verfügt (Art. 67 Abs. 3 AuG). Während der Gültigkeit des Einreiseverbots ist der ausländischen Person die Einreise in die Schweiz untersagt. Wenn wichtige Gründe es rechtfertigen, kann das Einreiseverbot vorübergehend aufgehoben werden (Art. 67 Abs. 4 AuG).</w:t>
      </w:r>
    </w:p>
    <w:p>
      <w:r>
        <w:rPr>
          <w:b/>
        </w:rPr>
        <w:t>E. 3.2</w:t>
      </w:r>
    </w:p>
    <w:p>
      <w:r>
        <w:t>Das Einreiseverbot soll - wie bereits die altrechtliche Einreise­sperre - künftigen Störungen der öffentlichen Sicherheit und Ordnung vorbeugen, nicht aber ein vergangenes Fehlverhalten sanktionieren, und hat somit keinen Straf-, sondern Massnahmencharakter (vgl. Botschaft zum Bundesgesetz über die Ausländerinnen und Ausländer vom 8. März 2002 [im Folgenden: Botschaft], BBl 2002 3709, 3813). Die öffentliche Sicherheit und Ordnung im Sinne von Art. 67 Abs. 1 Bst. a AuG bildet den Oberbegriff für die Gesamtheit der polizeilichen Schutzgüter. Sie umfasst unter anderem die Unverletzlichkeit der objektiven Rechtsordnung; deren Verletzung ist namentlich gegeben bei erheblichen oder wiederholten Verstössen gegen gesetzliche Vorschriften oder behördliche Verfügungen sowie bei Nichterfüllung öffentlichrechtlicher oder privatrechtlicher Verpflichtungen (Botschaft, a.a.O., 3809; vgl. auch Art. 80 Abs. 1 Bst. a und b der Verordnung vom 24. Oktober 2007 über Zulassung, Aufenthalt und Erwerbstätigkeit [VZAE, SR 142.201] sowie Rainer J. Schweizer/Patrick Sutter/Nina Widmer, in: Rainer J. Schweizer [Hrsg.], Sicherheits- und Ordnungsrecht des Bundes, SBVR Bd. III/1, Basel 2008, Teil B, Rz. 13 mit Hinweisen).</w:t>
      </w:r>
    </w:p>
    <w:p>
      <w:r>
        <w:rPr>
          <w:b/>
        </w:rPr>
        <w:t>E. 3.3</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4</w:t>
      </w:r>
    </w:p>
    <w:p>
      <w:r>
        <w:t>In der angefochtenen Verfügung wird dem Beschwerdeführer ins­besondere die Nichtbefolgung einer behördlich angesetzten Ausreisefrist sowie illegaler Aufenthalt vorgeworfen. Aus den Akten geht hervor, dass sich der Beschwerdeführer nach Ablauf der Ausreisefrist vom 10. August 2008 bis zu seiner Verhaftung vom 3. September 2008 un­bestrittenermassen weiterhin auf dem Gebiet des Kantons Solothurn auf­hielt. Sein Aufenthalt ist damit als rechtswidrig im Sinne von Art. 115 Abs. 1 Bst. b AuG zu bezeichnen. Durch das Nichtbefolgen der behördlich angesetzten Ausreisefrist und den illegalen Aufenthalt hat er gegen die öffentliche Sicherheit und Ordnung in der Schweiz verstossen und erfüllt die Voraussetzungen zur Verhängung eines Einreiseverbots gemäss Art. 67 Abs. 1 Bst. a AuG. Da der Beschwerdeführer seiner Verpflichtung zur Ausreise nicht nachgekommen ist, wurde er am 3. September 2008 polizeilich angehalten und gestützt auf die Verfügung des Departements des Inneren des Kantons Solothurn, Ausländerfragen vom 4. September 2008 in Ausschaffungshaft genommen. Er erfüllt demnach auch die Voraussetzungen zur Anordnung einer Fernhaltemassnahme im Sinne von Art. 67 Abs. 1 Bst. d AuG.</w:t>
      </w:r>
    </w:p>
    <w:p>
      <w:r>
        <w:rPr>
          <w:b/>
        </w:rPr>
        <w:t>E. 5.1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 des ordnungswidrigen Verhaltens und die persönlichen Verhältnisse des Verfügungsbelasteten bilden dabei den Ausgangspunkt der Überlegungen (vgl. statt vieler Häfelin / Müller / Uhlmann, a.a.O., Rz. 613 ff.).</w:t>
      </w:r>
    </w:p>
    <w:p>
      <w:r>
        <w:rPr>
          <w:b/>
        </w:rPr>
        <w:t>E. 5.2</w:t>
      </w:r>
    </w:p>
    <w:p>
      <w:r>
        <w:t>Wie dargelegt hat der Beschwerdeführer gegen ausländerrechtliche Vorschriften verstossen. Das generalpräventiv motivierte öffentliche Interesse, die gesetzliche Ordnung durch eine konsequente Massnahmenpraxis gegenüber ausländischen Personen zu schützen, ist gewichtig. Im vorliegenden Fall treten spezialpräventive Gründe hinzu. Diesbezüglich ist insbesondere zu berücksichtigen, dass dem Beschwerdeführer, nachdem er den ordentlichen Rechtsmittelweg ausgeschöpft hatte, eine Frist zum Verlassen der Schweiz bis zum 31. März 2008 gewährt wurde, er aber, statt dieser Aufforderung Folge zu leisten, mit der Ergreifung eines ausserordentlichen Rechtsmittels weiter versuchte, die Ausreise hinauszuzögern. Auch die letztmalige Verlängerung der Frist zur Ausreise bis zum 10. August 2008 liess er ungenutzt verstreichen und stellte wiederum ein Gesuch um Erteilung einer Aufenthaltsbewilligung. Er hat sich demnach über einen längeren Zeitraum rechtswidrig in der Schweiz aufgehalten, ohne sich um die Ausreise zu kümmern, und hat anlässlich der zahlreichen Ausreisegespräche gegenüber der kantonalen Ausländerbehörde wiederholt zum Ausdruck gebracht, er sei nicht bereit, seiner Pflicht zur Ausreise nachzukommen, weshalb er schliesslich in Ausschaffungshaft genommen werden musste. Ausserdem musste die Polizei mehrmals im Zusammenhang mit gemeldeter häuslicher Gewalt (Tätlichkeiten und Nachtruhestörungen) ausrücken. Anlässlich der ersten polizeilichen Intervention vom 19. April 2006, lediglich eine Woche nach dem Eheschluss, wurde der Beschwerdeführer mit einer zehntägigen Wegweisung aus der ehelichen Wohnung belegt. Sowohl aus general- wie auch aus spezialpräventiven Überlegungen besteht daher ein erhebliches öffentliches Interesse daran, über den Beschwerdeführer ein Einreiseverbot zu verhängen.</w:t>
      </w:r>
    </w:p>
    <w:p>
      <w:r>
        <w:rPr>
          <w:b/>
        </w:rPr>
        <w:t>E. 6.1</w:t>
      </w:r>
    </w:p>
    <w:p>
      <w:r>
        <w:t>Persönliche Interessen macht der Beschwerdeführer insofern geltend, als er in seiner Rechtsmitteleingabe ausführt, er lebe zwar von seiner Ehefrau getrennt, die Ehe bestehe aber formell weiterhin, weshalb er grundsätzlich einen Anspruch auf die Erteilung einer Auf­enthaltsbewilligung habe. Er macht damit sinngemäss geltend, das Einreiseverbot erschwere es ihm, die Beziehung zu seiner Ehefrau in der Schweiz zu pflegen. Sinngemäss beruft er sich damit auf Art. 8 Ziff. 1 der Konvention vom 4. November 1950 zum Schutze der Menschenrechte und Grundfreiheiten (EMRK, SR 0.101) sowie auf Art. 13 Abs. 1 der Bundesverfassung der Schweizerischen Eidgenossenschaft vom 18. April 1999 (BV, SR 101), die beide dem Schutz eines von staatlichen Eingriffen ungestörten Familienlebens dienen und im Ausländerrecht identische Ansprüche vermitteln (BGE 129 II 215 E. 4.2 S. 218 f.).</w:t>
      </w:r>
    </w:p>
    <w:p>
      <w:r>
        <w:rPr>
          <w:b/>
        </w:rPr>
        <w:t>E. 6.2</w:t>
      </w:r>
    </w:p>
    <w:p>
      <w:r>
        <w:t>Zunächst ist festzuhalten, dass allfällige Einschränkungen des Privat- bzw. Familienlebens des Beschwerdeführers aufgrund sachlicher und funktioneller Unzuständigkeit des Bundesverwaltungsgerichts nicht Verfahrensgegenstand sein können, soweit sie auf das Fehlen eines dauerhaften Aufenthaltsrechts in der Schweiz zurückzuführen sind (vgl. Urteil des Bundesverwaltungsgerichts C-4941/2008 vom 23. November 2009 E. 7.3 mit Hinweisen). Auf das mit Replik vom 5. Januar 2009 gestellte Begehren, es sei ihm die Aufenthaltsbewilligung zu verlängern, ist deshalb nicht einzutreten. Wie oben erwähnt, wurde dem Beschwerdeführer die Verlängerung der Aufenthaltsbewilligung mit in Rechtskraft erwachsener Verfügung des Amtes für öffentliche Sicherheit des Kantons Solothurn, Ausländerfragen vom 29. August 2007 verweigert. Die Pflege regelmässiger persönlicher Kontakte mit seiner Ehefrau scheitert daher bereits an seinem fehlenden Anwesenheitsrecht in der Schweiz. Somit stellt sich nurmehr die Frage, ob die über die Verweigerung des Aufenthaltsrechts hinausgehende, durch das Einreiseverbot zusätzlich bewirkte Er­schwernis vor Art. 8 Ziff. 1 EMRK und Art. 13 Abs. 1 BV standhält.</w:t>
      </w:r>
    </w:p>
    <w:p>
      <w:r>
        <w:rPr>
          <w:b/>
        </w:rPr>
        <w:t>E. 6.3</w:t>
      </w:r>
    </w:p>
    <w:p>
      <w:r>
        <w:t>Aus den vorstehenden Ausführungen geht hervor, dass sich der Beschwerdeführer derzeit ohnehin nur zu Besuchszwecken in der Schweiz aufhalten dürfte. Eine Aufhebung des Einreiseverbots würde nur bewirken, dass er den allgemeinen, für Staatsangehörige von Tunesien geltenden Einreisebestimmungen (insbesondere der Visumspflicht) unterstünde. Er könnte somit ohnehin nicht bewilligungsfrei in die Schweiz einreisen. Die Wirkungen des Einreiseverbots bestehen zudem nicht darin, dass dem Beschwerdeführer die Einreise in die Schweiz generell verwehrt wäre, ihm während seiner Geltungsdauer Besuchsaufenthalte bei ihm nahe stehenden Personen hierzulande schlichtweg untersagt wären. Es steht ihm vielmehr die Möglichkeit offen, aus wichtigen Gründen mittels begründetem Gesuch, die zeitweilige Suspension der angeordneten Fernhaltemassnahme (Art. 67 Abs. 4 AuG) sowie ein in diesem Zusammenhang erforderliches Visum zu beantragen. Die Suspension wird aber praxisgemäss nur für eine kurze und klar begrenzte Zeit gewährt (vgl. das bereits erwähnte Urteil des Bundesverwaltungsgerichts C-4941/2008 vom 23. November 2009 E. 7.3 mit Hinweisen). Die durch das Einreiseverbot verursachte Beeinträchtigung in der Lebensführung des Beschwerdeführers erweist sich damit als geringfügig.</w:t>
      </w:r>
    </w:p>
    <w:p>
      <w:r>
        <w:rPr>
          <w:b/>
        </w:rPr>
        <w:t>E. 6.4</w:t>
      </w:r>
    </w:p>
    <w:p>
      <w:r>
        <w:t>Eine wertende Gewichtung der sich gegenüberstehenden privaten und öffentlichen Interessen führt das Bundesverwaltungsgericht somit zum Schluss, dass das auf fünf Jahre befristete Einreiseverbot sowohl im Grundsatz als auch in Bezug auf seine Dauer eine unter Berück­sichtigung der gängigen Praxis in vergleichbaren Fällen verhältnis­mässige und angemessene Massnahme zum Schutze der öffentlichen Ordnung und Sicherheit darstellt.</w:t>
      </w:r>
    </w:p>
    <w:p>
      <w:r>
        <w:rPr>
          <w:b/>
        </w:rPr>
        <w:t>E. 7</w:t>
      </w:r>
    </w:p>
    <w:p>
      <w:r>
        <w:t>Aus diesen Erwägungen folgt, dass sich die angefochtene Verfügung im Ergebnis als rechtmässig erweist (Art. 49 VwVG). Die Beschwerde ist daher abzuweisen, soweit darauf einzutreten ist.</w:t>
      </w:r>
    </w:p>
    <w:p>
      <w:r>
        <w:rPr>
          <w:b/>
        </w:rPr>
        <w:t>E. 8</w:t>
      </w:r>
    </w:p>
    <w:p>
      <w:r>
        <w:t>Entsprechend dem Ausgang des Verfahrens sind dem Beschwerdeführer die Kosten aufzuerlegen (Art. 63 Abs. 1 VwVG). Diese sind auf Fr. 600.- festzusetzen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