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C-6344/2007 vom 18. November 2009</w:t>
      </w:r>
    </w:p>
    <w:p>
      <w:r>
        <w:t>Bundesverwaltungsgericht, 2009-11-18, FR</w:t>
      </w:r>
    </w:p>
    <w:p>
      <w:r>
        <w:rPr>
          <w:b/>
        </w:rPr>
        <w:t xml:space="preserve">Quelle: </w:t>
      </w:r>
      <w:r>
        <w:t>https://mcp.opencaselaw.ch/entscheid/bvger_C-6344_2007</w:t>
      </w:r>
    </w:p>
    <w:p>
      <w:r>
        <w:t>FR: TAF C-6344/2007 du 18 novembre 2009</w:t>
      </w:r>
    </w:p>
    <w:p>
      <w:r>
        <w:t>IT: TAF C-6344/2007 del 18 novembre 2009</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Les dispositions de la 5ème révision de la LAI entrées en vigueur le 1er janvier 2008 ne sont dès lors pas applicables et les dispositions citées ci-après sont celles en vigueur jusqu'au 31 décembre 2007.</w:t>
      </w:r>
    </w:p>
    <w:p>
      <w:r>
        <w:rPr>
          <w:b/>
        </w:rPr>
        <w:t>E. 4</w:t>
      </w:r>
    </w:p>
    <w:p>
      <w:r>
        <w:t>Le recourant a présenté sa demande de rente le 28 novembre 2002. En dérogation à l'art. 24 LPGA, l'art. 48 al. 2 LAI en vigueur jusqu'au 31 décembre 2007 prévoit que si l'assuré présente sa demande de rente plus de douze mois après la naissance du droit, les prestations ne sont allouées que pour les douze mois précédant le dépôt de la demande. En l'espèce, le Tribunal peut se limiter à examiner si le recourant avait droit à une rente le 28 novembre 2001 ou si le droit à une rente était né entre cette date et le 28 août 2007, date de la décision sur opposition attaquée marquant la limite dans le temps du pouvoir d'examen de l'autorité de recours (ATF 129 V 1 consid. 2.1 et ATF 121 V 362 consid. 1b).</w:t>
      </w:r>
    </w:p>
    <w:p>
      <w:r>
        <w:rPr>
          <w:b/>
        </w:rPr>
        <w:t>E. 5.1</w:t>
      </w:r>
    </w:p>
    <w:p>
      <w:r>
        <w:t>Tout requérant doit remplir cumulativement les conditions suivantes pour avoir droit à une rente de l'assurance-invalidité suisse: être invalide au sens de la LPGA/LAI (art. 8 LPGA, art. 4, 28, 29 al. 1 LAI), compter une année entière au moins de cotisations (art. 36 al. 1 LAI).</w:t>
      </w:r>
    </w:p>
    <w:p>
      <w:r>
        <w:rPr>
          <w:b/>
        </w:rPr>
        <w:t>E. 5.2</w:t>
      </w:r>
    </w:p>
    <w:p>
      <w:r>
        <w:t>En l'occurrence, le recourant a versé des cotisations à l'AVS/AI pendant plus de 1 année quand il a déposé sa demande de rente et remplit, partant, la condition de la durée minimale de cotisations. Il reste dès lors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L'assuré a droit à un quart de rente s'il est invalide à 40% au moins, à une demi-rente s'il est invalide à 50%, à trois-quarts de rente s'il est invalide à 60% et à une rente entière s'il est invalide à 70% au moins (art. 28 al. 1 LAI). Jusqu'au 31 décembre 2003 l'échelonnement des rentes était d'un quart de rente, d'une demi-rente et d'une rente entière à compter respectivement d'un taux d'invalidité de 40%, 50% et 662/3%. Suite à l'entrée en vigueur le 1er juin 2002 de l'Accord bilatéral entre la Suisse et la Communauté européenne, la restriction prévue à l'art. 28 al. 1ter LAI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6.3</w:t>
      </w:r>
    </w:p>
    <w:p>
      <w:r>
        <w:t>Conformément à l'art. 29 al. 1 LAI,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des assurances, la lettre a s'applique si l'état de santé de l'assuré est stabilisé et a acquis un caractère essentiellement irréversible, la lettre b si l'état de santé est labile, c'est-à-dire susceptible d'une amélioration ou d'une aggravation (ATF 121 V 264, 111 V 21 consid. 2b). Une incapacité de travail de 20 % doit être prise en compte pour le calcul de l'incapacité de travail moyenne selon l'art. 29 al. 1 let. b LAI (Jurisprudence et pratique administrative des autorités d'exécution de l'AVS/AI [Pratique VSI] 1998 p. 126 consid. 3c).</w:t>
      </w:r>
    </w:p>
    <w:p>
      <w:r>
        <w:rPr>
          <w:b/>
        </w:rPr>
        <w:t>E. 6.4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w:t>
      </w:r>
    </w:p>
    <w:p>
      <w:r>
        <w:rPr>
          <w:b/>
        </w:rPr>
        <w:t>E. 7</w:t>
      </w:r>
    </w:p>
    <w:p>
      <w:r>
        <w:t>Le recourant a travaillé en dernier lieu en Espagne en tant que maçon contremaître jusqu'au 30 juin 2002, mois au cours duquel il subit une implantation d'une prothèse de la hanche gauche. Or, 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 al. 2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8</w:t>
      </w:r>
    </w:p>
    <w:p>
      <w:r>
        <w:t>En l'espèce, il est établi que le recourant, qui a subi une implantation d'une prothèse de la hanche gauche en juin-juillet 2002, souffre essentiellement de quelques limitations fonctionnelles de ladite hanche et d'un début de coxarthrose à la hanche droite. Par voie de conséquence, eu égard au fait qu'il ne s'agit pas là d'un état de santé stabilisé, la let. a de l'art. 29 al. 1 LAI est inapplicable; seule peut entrer en considération la let. b de cette disposition légale prévoyant en principe une période d'attente d'une année à partir du début de l'incapacité de travail relevante pour la détermination du début du droit à la rente.</w:t>
      </w:r>
    </w:p>
    <w:p>
      <w:r>
        <w:rPr>
          <w:b/>
        </w:rPr>
        <w:t>E. 9.1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282 consid. 4a).</w:t>
      </w:r>
    </w:p>
    <w:p>
      <w:r>
        <w:rPr>
          <w:b/>
        </w:rPr>
        <w:t>E. 9.2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et les références; ATF 130 II 425 consid. 2.1 et les références; arrêt du Tribunal fédéral 9C_859/2007 du 16 décembre 2008 consid. 5). Une telle manière de procéder ne viole pas le droit d'être entendu selon l'art. 29 al. 2 Cst. (SVR 2001 IV n° 10 p. 28).</w:t>
      </w:r>
    </w:p>
    <w:p>
      <w:r>
        <w:rPr>
          <w:b/>
        </w:rPr>
        <w:t>E. 10.1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10.2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11</w:t>
      </w:r>
    </w:p>
    <w:p>
      <w:r>
        <w:t>En l'espèce, la Commission fédérale de recours a renvoyé le dossier à l'administration par son jugement du 18 mai 2004 afin d'effectuer un examen orthopédique sur la base de radiographies permettant d'évaluer l'invalidité de l'assuré. Le rapport orthopédique du Dr B._______ du 21 décembre 2005 mentionne des restrictions dans l'amplitude des mouvements de la hanche gauche indolore et des douleurs à la rotation de la hanche droite, dont il est à prévoir, en raison d'une coxarthrose débutante, l'implantation dans les prochaines années d'une prothèse de la hanche. Le rapport relève que l'intéressé ne présente pas d'autres affections [orthopédiques] et indique clairement une pathologie contre-indiquant les efforts, le port de charges, la station debout prolongée. Une probable aggravation du status est néanmoins envisagée. Les deux rapports E 213 du 18 novembre 2004 et du 18 octobre 2005 ne relèvent pas d'autres affections de type orthopédique que celles énoncées et confirment la possibilité pour l'intéressé d'exercer toutes activités légères à moyennes sur terrain non accidenté ne nécessitant pas des déplacements importants et fréquents ni le port de charges supérieures à 20 kg. C'est donc à raison que l'OAIE, à la suite du rapport du Dr C._______ du 16 février 2006 qui retint une incapacité de travail de 70% dans l'activité de contremaître et une pleine capacité de travail dans des activités adaptées, a estimé que le recourant était en mesure d'exercer toutes activités à plein temps dans l'industrie légère, comme magasinier ou comme concierge et surveillant de chantier et d'immeuble. Dans sa duplique, l'assuré rappelle une ancienne fracture de la clavicule et une opération du ménisque l'affectant. Il y a lieu d'opposer à ces remarques que les deux rapports E 213 n'ont relevé aucune affection aux membres supérieurs et une démarche normale. Le recourant ne présentant pas d'autres atteintes à la santé que celles affectant ses hanches, le décision de l'OAIE selon laquelle il est à même d'exercer à plein temps toutes activités adaptées légères à moyennes, notamment dans l'industrie légère et comme magasinier, ne peut qu'être confirmée. Le recourant n'a d'ailleurs pas apporté de documentation médicale permettant de remettre en question cette appréciation.</w:t>
      </w:r>
    </w:p>
    <w:p>
      <w:r>
        <w:rPr>
          <w:b/>
        </w:rPr>
        <w:t>E. 12.1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12.2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 comparaison de revenus doit s'effectuer sur le même marché du travail (ATF 110 V 273 consid. 4b; arrêt du Tribunal fédéral I 222/05 du 13 octobre 2005 consid. 6.1). S'agissant d'assurés résidant à l'étranger, en raison de la disparité des niveaux de rémunération et des coûts de la vie généralement entre la Suisse et leur pays de résidence, on ne saurait retenir le montant du dernier salaire obtenu par l'intéressé dans son Etat de résidence pour être comparé avec un revenu théorique statistique suisse. Dans ces situations, les rémunérations retenues par l'enquête suisse sur la structure des salaires peuvent aussi servir à fixer le montant des revenus que l'assuré aurait pu obtenir s'il n'était pas invalide. L'administration doit de plus tenir compte pour le salaire d'invalide de référence d'une diminution de celui-ci, cas échéant, pour raison d'âge, de limitations dans les travaux dits légers ou de circonstances particulières personnelles ou professionnelle. La jurisprudence n'admet à ce titre pas de déduction globale supérieure à 25%. Celle-ci doit résulter d'une appréciation et doit être brièvement motivée par l'administration. Le juge des assurances sociales ne peut, sans motif pertinent, substituer son appréciation à celle de l'administration (ATF 126 V 75 consid. 5).</w:t>
      </w:r>
    </w:p>
    <w:p>
      <w:r>
        <w:rPr>
          <w:b/>
        </w:rPr>
        <w:t>E. 12.3</w:t>
      </w:r>
    </w:p>
    <w:p>
      <w:r>
        <w:t>En l'espèce, il y a lieu de relever que le calcul de l'OAIE (pce 53) contient une imprécision dans la mesure où il se réfère aux données 2004 au lieu de celles 2003. Or cette dernière année est déterminante parce que le droit à une rente a été finalement reconnu dès le 1er avril 2003. Cette erreur est toutefois sans conséquences sur le droit à la rente comme on le verra ci-après. L'évaluation de l'invalidité se fait selon la méthode générale par une comparaison de revenus entre, d'une part, le salaire mensuel moyen d'un salarié effectuant les travaux les plus difficiles (niveau 1+2 applicable à l'assuré ayant eu une fonction de contremaître) dans la construction en Suisse en 2003, soit, selon l'Enquête suisse sur les salaires 2002, Fr. 6'067.- pour 40 h./sem. et Fr. 6'324.84 indexé 2003 (+1%) à Fr. 6'388.09 pour 41.7 h./sem. selon le temps de travail usuel dans la branche de la construction, avec, d'autre part, un revenu théorique 2002 pour des activités de substitution simples et répétitives dans le commerce de gros et intermédiaire du commerce (Fr. 4'595.-), dans l'industrie textile (Fr. 4'579.-), les services collectifs et personnel (Fr. 4'139.-), soit Fr. 4'437.66.- pour 40 h./sem. et Fr. 4'626.26.- indexé 2003 (+1.3% moyenne des secteurs concernés) à Fr. 4'686.40 pour 41.7 h./sem. selon le temps de travail usuel toutes branches confondues, sous déduction d'un certain pourcentage pour raison d'âge et de limitations dans les travaux légers, in casu 20%, soit Fr. 3'749.12.-. Or, on constate que l'assuré, du fait de son invalidité, subit une diminution de sa capacité de gain de 41.31%, soit 41% fondant le droit à un quart de rente.</w:t>
      </w:r>
    </w:p>
    <w:p>
      <w:r>
        <w:rPr>
          <w:b/>
        </w:rPr>
        <w:t>E. 13</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du Tribunal fédéral I 294/99 du 4 juillet 2000 consid. 1; ATF 130 V 97 consid. 3.2 et les références citées; ATF 123 V 233 consid. 3c; Ueli Kieser, Schweizerisches Sozialversicherungsrecht, Zurich/St-Gall 2008, p. 204; Thomas Locher, Grundriss des Sozialversicherungsrechts, 3ème éd., Berne 2003, p. 122 s., 235, 268 ss).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Pratique VSI 1998 p. 296 consid. 3b). Vu ce qui précède, il s'ensuit que c'est à juste titre que l'OAIE a accordé à l'assuré un quart de rente d'invalidité à compter du 1er avril 2003 vu le taux d'invalidité de 41% résultant de la comparaison de revenus effectuée. Le recours dont ainsi être rejeté.</w:t>
      </w:r>
    </w:p>
    <w:p>
      <w:r>
        <w:rPr>
          <w:b/>
        </w:rPr>
        <w:t>E. 14.1</w:t>
      </w:r>
    </w:p>
    <w:p>
      <w:r>
        <w:t>Il n'est pas perçu de frais de procédure.</w:t>
      </w:r>
    </w:p>
    <w:p>
      <w:r>
        <w:rPr>
          <w:b/>
        </w:rPr>
        <w:t>E. 14.2</w:t>
      </w:r>
    </w:p>
    <w:p>
      <w:r>
        <w:t>Vu l'issue de la procédure il n'est pas alloué de dépens (art. 64 al. 1 PA en relation avec les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