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C-6336/2014 vom 16. Juni 2015</w:t>
      </w:r>
    </w:p>
    <w:p>
      <w:r>
        <w:t>Bundesverwaltungsgericht, 2015-06-16, FR</w:t>
      </w:r>
    </w:p>
    <w:p>
      <w:r>
        <w:rPr>
          <w:b/>
        </w:rPr>
        <w:t xml:space="preserve">Quelle: </w:t>
      </w:r>
      <w:r>
        <w:t>https://mcp.opencaselaw.ch/entscheid/bvger_C-6336_2014</w:t>
      </w:r>
    </w:p>
    <w:p>
      <w:r>
        <w:t>FR: TAF C-6336/2014 du 16 juin 2015</w:t>
      </w:r>
    </w:p>
    <w:p>
      <w:r>
        <w:t>IT: TAF C-6336/2014 del 16 giugno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 3.197). Aussi peut-elle admettre ou rejeter le pourvoi pour d'autres motifs que ceux invoqués. Dans son arrêt, elle prend en considération l'état de fait régnant au moment où elle statue (cf. ATAF 2014/1 consid. 2).</w:t>
      </w:r>
    </w:p>
    <w:p>
      <w:r>
        <w:rPr>
          <w:b/>
        </w:rPr>
        <w:t>E. 3</w:t>
      </w:r>
    </w:p>
    <w:p>
      <w:r>
        <w:t>Dans son mémoire de recours, A._______ a fait valoir une violation de son droit d'être entendu, en ce sens que la décision attaquée est, à son avis, insuffisamment motivée.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 B. Waldmann / Ph. Weissenberger [Hrsg.], VwVG, Praxiskommentar zum Bundesgesetz über das Verwaltungsverfahren, 2009, ad art. 29 nos 28 s. et 106 s.).</w:t>
      </w:r>
    </w:p>
    <w:p>
      <w:r>
        <w:rPr>
          <w:b/>
        </w:rPr>
        <w:t>E. 3.1</w:t>
      </w:r>
    </w:p>
    <w:p>
      <w:r>
        <w:t>Tel qu'il est garanti à l'art. 29 al. 2 de la Constitution fédérale de la Confédération suisse du 18 avril 1999 (Cst. ;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et ATF 129 II 497 consid. 2.2 et les arrêts cités). La jurisprudence a également déduit du droit d'être entendu le devoir pour l'autorité de motiver sa décision, ce qui a notamment été retranscrit dans le droit positif à l'art. 35 PA.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Le devoir de motivation a pour but de garantir que l'intéressé puisse comprendre la décision en cause et l'attaquer en toute connaissance de cause, en sachant sur quelles circonstances principales il doit fonder son argumentation (cf. Lorenz Kneubühler, in : Christoph Auer / Markus Müller / Benjamin Schindler [Hrsg.], Kommentar zum Bundesgesetz über das Verwaltungsverfahren, Zurich 2008 ad art. 35 nos 9 à 17 ; cf. également ATF 134 I 83 consid. 4.1 ainsi que l'arrêt du Tribunal fédéral 8C_611/2013 du 21 novembre 2013 consid. 2.2).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arrêts du Tribunal fédéral 1B_195/2010 du 13 juillet 2010 consid. 2.2 et 1C_35/2009 du 29 mai 2009 consid. 3).</w:t>
      </w:r>
    </w:p>
    <w:p>
      <w:r>
        <w:rPr>
          <w:b/>
        </w:rPr>
        <w:t>E. 3.2</w:t>
      </w:r>
    </w:p>
    <w:p>
      <w:r>
        <w:t>En l'occurrence, même si la motivation de la décision querellée du 26 septembre 2014 paraît relativement succincte, il n'en demeure pas moins que l'autorité inférieure s'est prononcée sur les principaux aspects de la demande d'autorisation d'entrée déposée par B._______. Après avoir retenu que la situation personnelle de la prénommée et la situation économique prévalant dans son pays d'origine ne permettaient pas de considérer que la sortie de l'Espace Schengen à l'échéance du visa était suffisamment garantie, l'autorité inférieure a souligné que l'invitée n'avait pas démontré entretenir des liens si étroits avec son pays d'origine qu'elle doive impérativement retourner dans sa patrie au terme du séjour envisagé dans l'Espace Schengen. Elle a par ailleurs précisé que si les liens familiaux évoqués (tout jeune enfant, dont B._______ est la mère, qui restera en RDC pendant le temps du séjour en Suisse ; relation sérieuse de B._______ avec le père de cet enfant qui vit en RDC ; poursuite d'études de B._______ dans son pays d'origine) pouvaient, dans une certaine mesure, inciter une personne à retourner dans le pays où elle réside, ils ne sauraient dans le cas d'espèce dissiper les doutes quant à la sortie ponctuelle de Suisse et de l'Espace Schengen de B._______. Dans ces conditions, le Tribunal de céans ne peut suivre le recourant en tant que celui-ci prétend que la motivation de la décision entreprise ne lui permettait pas de saisir les points essentiels sur lesquels l'autorité inférieure s'est appuyée pour justifier sa position. Bien plutôt, son mémoire de recours circonstancié, long de quinze pages, déposé le 30 octobre 2014, démontre qu'il a pris en l'espèce position en toute connaissance de cause.</w:t>
      </w:r>
    </w:p>
    <w:p>
      <w:r>
        <w:rPr>
          <w:b/>
        </w:rPr>
        <w:t>E. 3.3</w:t>
      </w:r>
    </w:p>
    <w:p>
      <w:r>
        <w:t>En conséquence ce qui précède, le grief tiré d'une violation du droit d'être entendu doit être écarté.</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l'arrêt du Tribunal administratif fédéral C 6751/2013 du 6 novembre 2014 consid. 3 et la jurisprudence citée).La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p. 3531, ad art. 3 du projet de loi ; cf. également ATF 135 II 1 consid. 1.1, ATAF 2014/1 consid. 4.1.1, ATAF 2011/48 consid. 4.1 et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 S'agissant des conditions d'entrée en Suisse pour un séjour n'excédant pas quatre-vingt-dix jours, l'art. 2 al. 1 de l'ordonnance du 22 octobre 2008 sur l'entrée et l'octroi de visas (OEV ; RS 142.204) renvoie au Règlement (CE) n° 562/2006 du Parlement européen et du Conseil du 15 mars 2006 établissant un code communautaire relatif au franchissement des frontières par les personnes (code frontières Schengen [JO L 105 du 13 avril 2006 p. 1-32]), dont l'art. 5 a été modifié par le Règlement (UE) n°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 Les conditions d'entrée ainsi prévues correspondent, pour l'essentiel, à celles posées à l'art. 5 LEtr (cf. notamment l'arrêt du Tribunal administratif fédéral C-2942/2013 du 17 février 2014 consid. 4.2).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w:t>
      </w:r>
    </w:p>
    <w:p>
      <w:r>
        <w:rPr>
          <w:b/>
        </w:rPr>
        <w:t>E. 5.2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5.3</w:t>
      </w:r>
    </w:p>
    <w:p>
      <w:r>
        <w:t>Le Règlement (CE) n° 539/2001 du Conseil du 15 mars 2001 (JOL 81 du 21 mars 2001, p. 1-7) différencie, en son art. 1 par. 1 et 2, les ressortissants des Etats tiers selon qu'ils sont soumis ou non à l'obligation du visa. Du fait qu'elle est une ressortissante de la République démocratique du Congo, B._______ est soumise à l'obligation du visa.</w:t>
      </w:r>
    </w:p>
    <w:p>
      <w:r>
        <w:rPr>
          <w:b/>
        </w:rPr>
        <w:t>E. 6.1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(sur les points qui précèdent, cf. no­tamment l'arrêt du Tribunal administratif fédéral C-6751/2013 précité consid. 5.3 et la jurisprudence citée).</w:t>
      </w:r>
    </w:p>
    <w:p>
      <w:r>
        <w:rPr>
          <w:b/>
        </w:rPr>
        <w:t>E. 7</w:t>
      </w:r>
    </w:p>
    <w:p>
      <w:r>
        <w:t>Dans la décision querellée, le SEM a refusé d'autoriser l'entrée de B._______ au motif que son départ à l'échéance du visa sollicité n'apparaissait pas suffisamment assuré.</w:t>
      </w:r>
    </w:p>
    <w:p>
      <w:r>
        <w:rPr>
          <w:b/>
        </w:rPr>
        <w:t>E. 7.1</w:t>
      </w:r>
    </w:p>
    <w:p>
      <w:r>
        <w:t>Au regard de la situation économique prévalant en République démocratique du Congo où séjourne la prénommée, on ne saurait de prime abord écarter les craintes du SEM de voir B._______ prolonger son séjour en Suisse ou dans l'Espace Schengen au-delà de la date d'échéance du visa sollicité.</w:t>
      </w:r>
    </w:p>
    <w:p>
      <w:r>
        <w:rPr>
          <w:b/>
        </w:rPr>
        <w:t>E. 7.1.1</w:t>
      </w:r>
    </w:p>
    <w:p>
      <w:r>
        <w:t>En effet, doivent être prises en considération la qualité de vie et les conditions économiques particulières que connaît l'ensemble de la population de ce pays. S'agissant de la situation économique, il convient de souligner que le produit intérieur brut (PIB) par habitant en 2012 en République démocratique du Congo s'élevait à environ USD 272.- (source : site internet du Ministère français des affaires étrangères www.diplomatie.gouv.fr &gt; Dossiers pays &gt; République démocratique du Congo &gt; Présentation de la République démocratique du Congo, mis à jour le 10 décembre 2014 [site internet consulté en juin 2015]) et à environ USD 81'000.- pour la Suisse. Malgré une forte croissance du PIB, de l'ordre de 10 % en 2014, principalement due à la hausse des cours du cobalt, du cuivre, du zinc et des diamants, et un potentiel économique considérable, la République démocratique du Congo reste l'un des pays les plus pauvres de la planète. Pour l'année 2013, l'indice de développement humain (IDH), qui prend en compte la santé, l'éducation et le revenu des personnes, classe la République démocratique du Congo en 186ème position sur 187, et la Suisse en 3ème position (cf. le site internet des rapports sur le développement humain du Programme des Nations Unies pour le développement [HDR UNDP] : http://www.hdr.undp.org &gt; Pays &gt; République démocratique du Congo, respectivement la Suisse [site internet consulté en juin 2015]).</w:t>
      </w:r>
    </w:p>
    <w:p>
      <w:r>
        <w:rPr>
          <w:b/>
        </w:rPr>
        <w:t>E. 7.1.2</w:t>
      </w:r>
    </w:p>
    <w:p>
      <w:r>
        <w:t>Ces conditions de vie défavorables peuvent s'avérer décisives lorsqu'une personne prend la décision de quitter sa patrie, en ce sens qu'elles ne sont pas sans exercer une pression migratoire importante sur la population, cette tendance se renforçant, comme l'expérience l'a démontré, lorsque la personne concernée peut s'appuyer à l'étranger sur un réseau social (parenté, amis) préexistant (cf. arrêt du Tribunal administratif fédéral C-431/2015 du 11 mars 2015 consid. 4.2.1), comme c'est le cas en l'espèce.</w:t>
      </w:r>
    </w:p>
    <w:p>
      <w:r>
        <w:rPr>
          <w:b/>
        </w:rPr>
        <w:t>E. 7.1.3</w:t>
      </w:r>
    </w:p>
    <w:p>
      <w:r>
        <w:t>Toutefois, la seule situation dans le pays d'origine ne suffit pas à conclure à l'absence de garantie quant à la sortie de Suisse et de l'Espace Schengen à l'issue du séjour, toutes les particularités du cas devant être prises en considération (cf. ATAF 2009/27 consid. 7 et 8).</w:t>
      </w:r>
    </w:p>
    <w:p>
      <w:r>
        <w:rPr>
          <w:b/>
        </w:rPr>
        <w:t>E. 7.2.1</w:t>
      </w:r>
    </w:p>
    <w:p>
      <w:r>
        <w:t>Il convient dès lors d'examiner particulièrement si les attaches personnelles, familiales et professionnelles de B._______ plaident en faveur de sa sortie ponctuelle de Suisse, respectivement de l'Espace Schengen, au terme du séjour envisagé.</w:t>
      </w:r>
    </w:p>
    <w:p>
      <w:r>
        <w:rPr>
          <w:b/>
        </w:rPr>
        <w:t>E. 7.2.2</w:t>
      </w:r>
    </w:p>
    <w:p>
      <w:r>
        <w:t>A cet égard, sans vouloir minimiser l'importance des motifs d'ordre familial sur lesquels la prénommée a fondé sa demande d'autorisation d'entrée en Suisse, le Tribunal de céans ne saurait admettre, au vu de l'ensemble des éléments du dossier, que sa sortie du territoire helvétique au terme du séjour envisagé soit suffisamment garantie. En particulier, quand bien même B._______ dispose d'attaches familiales - sa fille, C._______, sa mère, sa tante et son fiancé - en République démocratique du Congo, le Tribunal de céans ne saurait passer sous silence les contradictions que l'examen du dossier met en lumière s'agissant des études prétendument suivies par l'invitée. Ce fait amène le Tribunal, à l'instar de l'autorité inférieure, à douter du but véritable de son séjour en Suisse. En effet, dans plusieurs écritures (cf. opposition du 25 août 2014, pp. 3, 4 et 5, mémoire de recours, pp. 3 et 8), la recourante indique accomplir des études de journalisme à l'Université de Kinshasa. D'autres écrits (cf. curricumlum vitae daté du 7 juin 2014, attestation de fréquentation de l'Institut supérieur pédagogique de la Gombe) font quant à eux mention d'un cursus en hôtellerie, accueil et tourisme auprès de l'Institut supérieur pédagogique de la Gombe. Quoiqu'il en soit, au-delà du doute sur le statut d'étudiante de B._______, force est de constater que cette dernière ne dispose d'aucune attache professionnelle stable dans son pays d'origine. Par ailleurs, on ne saurait considérer que la prénommée bénéficie en République démocratique du Congo d'une situation matérielle susceptible de garantir sans aucun doute son retour. Cela est d'autant plus vrai que D._______, l'homme avec lequel elle a mis au monde, le 8 juin 2013, l'enfant C._______, est étudiant (cf. acte de naissance de l'enfant C._______) et n'a de ce fait aucun revenu propre. Au demeurant, on observera que, près de deux ans après la naissance de leur enfant, B._______ et D._______ ne sont toujours pas mariés, ce qui tend à jeter le doute sur l'étroitesse des liens qui, prétendument, les unit. La lettre du 18 août 2014, dans laquelle D._______ indique avoir des projets de mariage avec l'intéressée, n'est pas un moyen suffisamment probant pour dissiper les incertitudes en la matière. Finalement, le fait que la mère et la tante vivent en République démocratique du Congo ne permet pas non plus de faire un pronostic fiable en l'espèce (cf. arrêt du Tribunal administratif fédéral C-4907/2014 consid. 6.4.1).</w:t>
      </w:r>
    </w:p>
    <w:p>
      <w:r>
        <w:rPr>
          <w:b/>
        </w:rPr>
        <w:t>E. 7.2.3</w:t>
      </w:r>
    </w:p>
    <w:p>
      <w:r>
        <w:t>Eu égard aux circonstances socio-économiques exposées précédemment (cf. ci-dessus, consid. 7.1.2), les autorités helvétiques ne peuvent totalement exclure que l'intéressée ne s'efforce, une fois entrée en Suisse et malgré les assurances contraires qui ont été données par le recourant, d'obtenir un titre de séjour dans l'espoir d'y trouver des conditions d'existence meilleures que celles rencontrées dans son pays d'origine. Il ne faut pas perdre de vue que cette différence de niveau de vie peut s'avérer déterminante lorsqu'on prend la décision de quitter sa patrie. La présence de son père en Suisse peut en outre constituer un élément supplémentaire propre à favoriser l'éventuelle installation de B._______ dans ce pays. Dans ce contexte, l'on voit mal en quoi le fait que le recourant ait eu la possibilité (non utilisée) de déposer une demande de regroupement familial en faveur de sa fille en 2001 puisse être un argument déterminant dans la présente affaire.</w:t>
      </w:r>
    </w:p>
    <w:p>
      <w:r>
        <w:rPr>
          <w:b/>
        </w:rPr>
        <w:t>E. 8</w:t>
      </w:r>
    </w:p>
    <w:p>
      <w:r>
        <w:t>Le Tribunal relève par ailleurs que le désir exprimé par B._______, au demeurant parfaitement compréhensible, de venir en Suisse afin de rendre visite à son père, ne constitue pas à lui seul un motif justifiant l'octroi d'un visa, à propos duquel elle ne saurait se prévaloir d'aucun droit (cf. ci-dessus, consid. 4). Certes, il peut, du moins à première vue, sembler sévère de refuser à une personne l'autorisation d'entrer dans un pays où résident des membres de sa famille. Cette situation ne diffère toutefois pas de celle de nombreux étrangers dont la parenté demeure légalement en Suisse. En effet, au vu du nombre important de demandes de visa qui leur sont adressées, les autorités helvétiques ont été amenées à adopter une politique d'admission très restrictive en la matière (cf. ibid.). Par surabondance, il convient encore de remarquer que le refus d'autorisation d'entrée dans l'Espace Schengen prononcé par les autorités helvétiques ne constitue nullement un obstacle au maintien des relations familiales entre les intéressés, dès lors que ceux-ci peuvent tout aussi bien se rencontrer hors de Suisse.</w:t>
      </w:r>
    </w:p>
    <w:p>
      <w:r>
        <w:rPr>
          <w:b/>
        </w:rPr>
        <w:t>E. 9</w:t>
      </w:r>
    </w:p>
    <w:p>
      <w:r>
        <w:t>Le refus d'octroi d'une autorisation d'entrée ne remet pas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pas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précité consid. 9) et ne suffisent pas non plus à garantir que son départ interviendra dans les délais prévus.</w:t>
      </w:r>
    </w:p>
    <w:p>
      <w:r>
        <w:rPr>
          <w:b/>
        </w:rPr>
        <w:t>E. 10</w:t>
      </w:r>
    </w:p>
    <w:p>
      <w:r>
        <w:t>Par ailleurs, le recourant n'a pas invoqué de raisons susceptibles de justifier la délivrance, en faveur de B._______, d'un visa à validité territoriale limitée (cf. ci-dessus, consid. 5.2). Dans ce contexte, le refus d'autorisation d'entrée prononcé à l'endroit de B._______ ne constitue pas une ingérence inadmissible dans l'exercice du droit au respect de la vie privée et familiale consacré par l'art. 8 de la Convention du 4 novembre 1950 de sauvegarde des droits de l'homme et des libertés fondamentales (CEDH ; RS 0.101). En effet, rien de permet de penser, in casu, que l'intéressée et son père résidant sur le territoire helvétique se trouveraient durablement dans l'impossibilité de se rencontrer ailleurs qu'en Suisse (sur cette question, cf. arrêt du Tribunal administratif fédéral C-3737/2013 du 21 juin 2014 consid. 9 et la référence citée). A cela s'ajoute que les contacts pourront être également maintenus par d'autres moyens tels que la communication téléphonique et la correspondance postale ou électronique.</w:t>
      </w:r>
    </w:p>
    <w:p>
      <w:r>
        <w:rPr>
          <w:b/>
        </w:rPr>
        <w:t>E. 11</w:t>
      </w:r>
    </w:p>
    <w:p>
      <w:r>
        <w:t>Compte tenu des considérants exposés ci-dessus, le Tribunal est d'avis qu'il ne saurait être reproché à l'autorité inférieure d'avoir refusé la délivrance d'une autorisation d'entrée dans l'Espace Schengen en faveur de B._______. Il s'ensuit que, pas sa décision du 26 septembre 2014, l'autorité de première instance n'a ni violé le droit fédéral, ni constaté des faits pertinents de manière inexacte ou incomplète ; en outre, cette décision n'est pas inopportune (cf. art. 49 PA). En conséquence, le recours est rejeté.</w:t>
      </w:r>
    </w:p>
    <w:p>
      <w:r>
        <w:rPr>
          <w:b/>
        </w:rPr>
        <w:t>E. 12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