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C-6335/2008 vom 27. August 2010</w:t>
      </w:r>
    </w:p>
    <w:p>
      <w:r>
        <w:t>Bundesverwaltungsgericht, 2010-08-27, DE</w:t>
      </w:r>
    </w:p>
    <w:p>
      <w:r>
        <w:rPr>
          <w:b/>
        </w:rPr>
        <w:t xml:space="preserve">Quelle: </w:t>
      </w:r>
      <w:r>
        <w:t>https://mcp.opencaselaw.ch/entscheid/bvger_C-6335_2008</w:t>
      </w:r>
    </w:p>
    <w:p>
      <w:r>
        <w:t>FR: TAF C-6335/2008 du 27 août 2010</w:t>
      </w:r>
    </w:p>
    <w:p>
      <w:r>
        <w:t>IT: TAF C-6335/2008 del 27 agosto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Als Adressat der angefochtenen Verfügung ist der Beschwerdeführer zu deren Anfechtung legitimiert. Auf die frist- und formgerecht eingereichte Beschwerde ist deshalb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(Art. 49 VwVG) - die Unangemessenheit gerügt werden.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3.3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zur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4.2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5</w:t>
      </w:r>
    </w:p>
    <w:p>
      <w:r>
        <w:t>Aufgrund des zeitlichen Ablaufs im Vorfeld der erleichterten Einbürgerung des Beschwerdeführers gelangte die Vorinstanz zur Vermutung, dieser habe während des Einbürgerungsverfahrens falsche Angaben gemacht bzw. wesentliche Tatsachen verschwiegen.</w:t>
      </w:r>
    </w:p>
    <w:p>
      <w:r>
        <w:rPr>
          <w:b/>
        </w:rPr>
        <w:t>E. 5.1</w:t>
      </w:r>
    </w:p>
    <w:p>
      <w:r>
        <w:t>Der unbestritten gebliebene Akteninhalt zeigt, dass der Beschwerdeführer anfangs 1996 in die Schweiz gelangte, dass er erfolglos zwei Asylgesuche stellte, dass er im Anschluss daran - im November 1997 - das Eheversprechen mit einer 18 Jahre älteren Schweizerin anmeldete und aufgrund der nachfolgenden Heirat im Mai 1998 eine Aufenthaltsbewilligung erhielt. Aus den Akten ergibt sich weiterhin, dass die Ehegatten ein halbes Jahr lang - zuletzt in H._______ - zusammenlebten, bevor der Beschwerdeführer im November 1998 als Wochenaufenthalter in die Nachbargemeinde W._______ zog, und dass dieser Wochenaufenthalt erst mit dessen Arbeitslosigkeit im Frühjahr 2003 beendet wurde. Dass der Beschwerdeführer bei seiner Rückkehr ins Haus der Ehefrau - rund sechs Monate vor der erleichterten Einbürgerung - getrennte Räumlichkeiten bezog, ergibt sich aus dem Protokoll der Fürsorgebehörde H._______ vom 13. Dezember 2004. Unbestritten ist auch, dass die Ehegatten im Januar 2005 ein gemeinsames Scheidungsbegehren stellten.</w:t>
      </w:r>
    </w:p>
    <w:p>
      <w:r>
        <w:rPr>
          <w:b/>
        </w:rPr>
        <w:t>E. 5.2</w:t>
      </w:r>
    </w:p>
    <w:p>
      <w:r>
        <w:t>Die mit dieser Indizienkette dargelegten Umstände begründen ohne Weiteres die tatsächliche Vermutung, dass bereits mit dem vom Beschwerdeführer im November 1998 begründeten Wochenaufenthalt in W._______ die tatsächliche Lebensgemeinschaft der Ehegatten aufgegeben wurde.</w:t>
      </w:r>
    </w:p>
    <w:p>
      <w:r>
        <w:rPr>
          <w:b/>
        </w:rPr>
        <w:t>E. 5.3</w:t>
      </w:r>
    </w:p>
    <w:p>
      <w:r>
        <w:t>Dementsprechend stellt sich die Frage, ob die vom Beschwerdeführer vorgebrachten Argumente eine andere Schlussfolgerung erlauben. Dafür reicht es nicht aus zu behaupten, die Vorinstanz habe aus den aufgezeigten Umständen die falschen Schlussfolgerungen gezogen. Vielmehr kann die aufgrund der üblichen Beweisregeln zustande gekommene behördliche Vermutung nur durch plausible Gegenargumente der betroffenen Partei umgestossen werden (vgl. oben E. 4.2).</w:t>
      </w:r>
    </w:p>
    <w:p>
      <w:r>
        <w:rPr>
          <w:b/>
        </w:rPr>
        <w:t>E. 6</w:t>
      </w:r>
    </w:p>
    <w:p>
      <w:r>
        <w:t>Der Beschwerdeführer hat geltend gemacht, sein viereinhalbjähriges Getrenntleben unter der Woche sei notwendig gewesen, weil er als Bäckereigeselle sehr unregelmässige Arbeitszeiten gehabt habe. Zudem sei er nach dem Verlust dieses Arbeitsplatzes wieder zu seiner Ehefrau nach H._______ zurückgekehrt.</w:t>
      </w:r>
    </w:p>
    <w:p>
      <w:r>
        <w:rPr>
          <w:b/>
        </w:rPr>
        <w:t>E. 6.1</w:t>
      </w:r>
    </w:p>
    <w:p>
      <w:r>
        <w:t>A._______ bestreitet, dass sein Wochenaufenthalt in W._______ im Zusammenhang mit seinem Engagement in einer Sekte gestanden habe. Auf diesen Umstand habe die angefochtene Verfügung zu Unrecht abgestellt, denn er habe sich erst nach seiner Einbürgerung - und ausgelöst durch den Tod seines Sohnes im Jahre 2004 - einer religiösen Gruppe zugewendet. Ob der Beschwerdeführer aus religiöser Überzeugung nicht mehr mit seiner Ehefrau unter einem Dach leben wollte, kann jedoch dahingestellt bleiben. Hätte er - was an und für sich plausibel wäre - allein aus beruflichen Erfordernissen eine zusätzliche Wohnung am Arbeitsort gemietet, so wäre zu erwarten gewesen, dass nach dem Arbeitsplatzverlust die eheliche Gemeinschaft auch im Alltag wieder gelebt würde. Dies war aber offensichtlich nicht der Fall. Wie dem Protokoll der Fürsorgebehörde vom 13. Dezember 2004 zu entnehmen ist, bezog der Beschwerdeführer nach seiner Rückkehr ins Haus der Ehefrau getrennte Räume, bei denen es sich seinen eigenen Angaben zufolge um eine Einliegerwohnung, gemäss Angaben seiner Ehefrau um ein separates Zimmer handelte. Hieraus kann geschlossen werden, dass die Ehegatten bereits zuvor eine Trennung vollzogen hatten, welche durch den Wochenaufenthalt des Ehemannes in W._______ und die Beibehaltung des angemeldeten Wohnsitzes in H._______ überspielt wurde. Schliesslich hat B._______ bei der Anhörung durch das Bezirksgericht Bülach am 1. März 2005 auch verlauten lassen, dass sie mit der Rückkehr ihres Ehemannes in ihr - mehr als 12 Zimmer umfassendes - Haus im Frühjahr 2003 nicht einverstanden gewesen sei; vielmehr habe ihr Ehemann sie insoweit einfach vor vollendete Tatsachen gestellt. Auch dies spricht dafür, dass lange vor der erleichterten Einbürgerung des Beschwerdeführers am 30. September 2003 kein gemeinsamer Ehewille mehr vorlag. A._______ kann diese Vermutung nicht mit dem Argument entkräften, er habe lediglich berufsbedingt am Arbeitsort gewohnt.</w:t>
      </w:r>
    </w:p>
    <w:p>
      <w:r>
        <w:rPr>
          <w:b/>
        </w:rPr>
        <w:t>E. 6.2</w:t>
      </w:r>
    </w:p>
    <w:p>
      <w:r>
        <w:t>Vor dem geschilderten Hintergrund fällt nicht ins Gewicht, dass der Beschwerdeführer nach der erleichterten Einbürgerung noch zwei Jahre im Hause seiner Ehefrau wohnte und seine Scheidung erst nach weiteren zwei Jahren erfolgte. Ersichtlich wird daraus lediglich der formelle Bestand der Ehe, der jedoch nicht mit dem in Art. 27 Abs. 1 Bst. c verwendeten Begriff der ehelichen Gemeinschaft übereinstimmt (vgl. oben E. 3.1). Der Beschwerdeführer unterliegt daher einem Irrtum, wenn er meint, der Wohnsitz unter einer gemeinsamen Adresse reiche für die Annahme einer intakten ehelichen Beziehung aus. Er hat auch keine übereinstimmenden Interessen oder Aktivitäten geschildert, welche allenfalls ein Indiz für eine solche Beziehung hätten sein können. Entgegen seiner Behauptung trifft es auch nicht zu, dass er dem Scheidungswunsch seiner Ehefrau erst im Laufe des Jahre 2007 nachgab, wies doch sein Rechtsvertreter bei der gerichtlichen Anhörung vom 1. März 2005 wiederholt auf den beidseitigen Scheidungswillen hin; gleichzeitig thematisierte A._______ dabei aber auch seine Befürchtung, infolge der Scheidung das schweizerische Bürgerrecht wieder zu verlieren. Dass der Beschwerdeführer ab Frühjahr 2003 wieder in H._______ lebte und sich erst Ende 2007 scheiden liess, widerlegt daher nicht die Schlussfolgerung, dass im Einbürgerungszeitpunkt keine stabile eheliche Gemeinschaft mehr bestand.</w:t>
      </w:r>
    </w:p>
    <w:p>
      <w:r>
        <w:rPr>
          <w:b/>
        </w:rPr>
        <w:t>E. 7</w:t>
      </w:r>
    </w:p>
    <w:p>
      <w:r>
        <w:t>Der Beschwerdeführer hat weiterhin eingewendet, die Angaben von B._______ gegenüber der Fürsorgebehörde H._______ seien falsch gewesen bzw. hätten nicht den tatsächlichen Gegebenheiten entsprochen. Auch die Äusserungen der Ehefrau im Scheidungsverfahren dürften keine Berücksichtigung finden, zum einen deshalb, weil Beschuldigungen in solchen Verfahren notorisch seien, zum anderen deshalb, weil die Ehefrau in den späteren Eingaben an das BFM ihre Ehe aus einer anderen Sicht geschildert habe. Dieser Einwand ist jedoch unbehelflich, da sämtliche - und nicht nur die für den Beschwerdeführer günstigen - aktenkundigen Begebenheiten in Betracht fallen. Es ist eine Frage der freien Beweiswürdigung, welchen Umständen dabei mehr oder weniger Gewicht oder Glaubwürdigkeit zukommt.</w:t>
      </w:r>
    </w:p>
    <w:p>
      <w:r>
        <w:rPr>
          <w:b/>
        </w:rPr>
        <w:t>E. 7.1</w:t>
      </w:r>
    </w:p>
    <w:p>
      <w:r>
        <w:t>Was das Protokoll der Fürsorgebehörde vom 13. Dezember 2004 betrifft, so ist festzustellen, dass die dortigen Angaben der Ehefrau mit denen des Ehemannes insoweit übereinstimmen, als sie den Bezug getrennter Räumlichkeiten innerhalb des Hauses betreffen. Das Protokoll wurde auch von beiden Ehegatten unterzeichnet, so dass insoweit vom Wahrheitsgehalt dieser Bekundungen auszugehen ist. Angesichts der sich daraus ergebenden Schlussfolgerungen (E. 6.1 und 6. 2) kommt es auf den weiteren und vom Beschwerdeführer bestrittenen Inhalt des Besprechungsprotokolls nicht mehr an.</w:t>
      </w:r>
    </w:p>
    <w:p>
      <w:r>
        <w:rPr>
          <w:b/>
        </w:rPr>
        <w:t>E. 7.2</w:t>
      </w:r>
    </w:p>
    <w:p>
      <w:r>
        <w:t>Bei der vom Bezirksgericht Bülach am 1. März 2005 durchgeführten Anhörung zum Scheidungsbegehren hat B._______ dem Gericht erklärt, ihr Ehemann habe sich im Oktober/November 1998 einer Sekte zugewendet; sie sei von dieser Seite als Hexe und Dämonin bezeichnet worden, weshalb ihr Ehemann nicht mehr mit ihr habe zusammenleben können. Auch auf diese Aussage, deren Richtigkeit der Beschwerdeführer bestreitet, kommt es vorliegend nicht an, denn es spielt, wie dargelegt, keine Rolle, in welchem Zeitpunkt sich der Beschwerdeführer einer religiösen Gruppe angeschlossen hat. In ihrem an die Vorinstanz gerichteten Schreiben vom 20. Oktober 2005 versucht B._______, das Verhalten ihres Ehemannes - den Wochenaufenthalt in W._______, seine Hinwendung zu einer Sekte - psychologisch zu erklären. Sie betont, dass ihr Ehemann nach wie vor in H._______ wohne, und nennt die zur Frage stehende Nichtigerklärung eine falsche, unrichtige Beurteilung der Tatsachen. Deutlich offenbart sie damit ihr Bemühen, dem (Noch-) Ehemann das schweizerische Bürgerrecht zu erhalten. Ihre Eingabe enthält allerdings keine Aspekte, die den vermuteten Geschehensablauf vor der erleichterten Einbürgerung in Frage stellen könnten. Der Vorinstanz kann somit auch nicht vorgeworfen werden, die Äusserungen von B._______ in unzutreffender Weise gewürdigt zu haben und weitere notwendige Beweiserhebungen wie beispielsweise ihre Einvernahme als Zeugin unterlassen zu haben.</w:t>
      </w:r>
    </w:p>
    <w:p>
      <w:r>
        <w:rPr>
          <w:b/>
        </w:rPr>
        <w:t>E. 8</w:t>
      </w:r>
    </w:p>
    <w:p>
      <w:r>
        <w:t>Im Rechtsmittelverfahren bietet der Beschwerdeführer erneut die Zeugeneinvernahme seiner Ex-Ehefrau zum Beweis dafür an, dass seine Ehe im Zeitpunkt seiner erleichterten Einbürgerung noch stabil gewesen sei.</w:t>
      </w:r>
    </w:p>
    <w:p>
      <w:r>
        <w:rPr>
          <w:b/>
        </w:rPr>
        <w:t>E. 8.1</w:t>
      </w:r>
    </w:p>
    <w:p>
      <w:r>
        <w:t>Art. 19 VwVG i.V.m. Art. 37 des Bundesgesetzes über den Bundeszivilprozess vom 4. Dezember 1947 (BZP, SR 273) verpflichtet die Behörde nicht, alles und jedes, was wünschbar wäre, abzuklären. Bei der Auswahl der Beweismittel - bei der eine Zeugeneinvernahme ohnehin nur subsidiär wäre - berücksichtigt sie vielmehr deren Tauglichkeit und Beweiskraft (vgl. Alfred Kölz/Isabelle Häner, Verwaltungsverfahren und Verwaltungsrechtspflege des Bundes, 2. Auflage, Zürich 1998, Rz. 276). Zusätzliche Abklärungen sind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131 I 153 E. 3 S. 157).</w:t>
      </w:r>
    </w:p>
    <w:p>
      <w:r>
        <w:rPr>
          <w:b/>
        </w:rPr>
        <w:t>E. 8.2</w:t>
      </w:r>
    </w:p>
    <w:p>
      <w:r>
        <w:t>Im vorliegend Fall kann davon ausgegangen werden, dass weitere Abklärungen nicht zu neuen Erkenntnissen führen würden. Die Schilderungen der Ex-Ehefrau im Schreiben vom 20. Oktober 2005 sind für die Beurteilung des rechtserheblichen Sachverhalts irrelevant und lassen auch für den Fall einer Zeugeneinvernahme keine neuen Aufschlüsse erwarten. Gleiches gilt für ihr Schreiben vom 28. September 2008 (Beilage 8 der Beschwerde). Dort macht sie geltend, die angefochtene Verfügung stütze sich auf negative Behauptungen über ihre Ehe, welche die Fürsorgebehörde ihr zu Unrecht unterstellt habe. Angesichts des Umstands, dass sie das fragliche Protokoll dieser Behörde vom 13. Dezember 2004 selbst unterzeichnet hat, ist dies jedoch nicht glaubwürdig.</w:t>
      </w:r>
    </w:p>
    <w:p>
      <w:r>
        <w:rPr>
          <w:b/>
        </w:rPr>
        <w:t>E. 8.3</w:t>
      </w:r>
    </w:p>
    <w:p>
      <w:r>
        <w:t>Nach alledem kann auf dem Wege der antizipierten Beweiswürdigung unterstellt werden, dass sich B._______ auch als Zeugin darum bemühen würde, ihre Ehe aus einem dem Beschwerdeführer wohlwollenden Blickwinkel zu schildern. Was die hier relevante Frage der beidseits gelebten ehelichen Gemeinschaft betrifft, so wäre zu erwarten, dass sie sich auf die noch lange Zeit fortbestehende gemeinsame Meldeadresse in H._______ und die erst Ende 2007 ausgesprochene Scheidung beruft. Da der Sachverhalt diesbezüglich bereits genügend abgeklärt bzw. gar nicht strittig ist, kann auf ihre Einvernahme verzichtet werden. Zu Unrecht geht der Beschwerdeführer davon aus, dass die Meinungsäusserungen seiner Ex-Ehefrau für die hier zu treffende rechtliche Gesamtbeurteilung erheblich sein könnten. Es ist daher auch nicht relevant, ob B._______ und weitere Verwandte sich zu seinen Gunsten für die Beibehaltung des schweizerischen Bürgerrechts aussprechen.</w:t>
      </w:r>
    </w:p>
    <w:p>
      <w:r>
        <w:rPr>
          <w:b/>
        </w:rPr>
        <w:t>E. 9</w:t>
      </w:r>
    </w:p>
    <w:p>
      <w:r>
        <w:t>Zusammenfassend ist festzustellen, dass der Beschwerdeführer die von der Vorinstanz gezogenen Schlussfolgerungen nicht hat entkräften können. Es ist davon auszugehen, dass während des Einbürgerungsverfahrens keine stabile eheliche Gemeinschaft mehr bestand, dass die Ehegatten noch vor der erleichterten Einbürgerung innerhalb des Hauses von B._______ voneinander getrennt lebten und dass diese Situation letztlich zur Scheidung führte. Der mit einem entsprechenden Beweisangebot erhobene Einwand des Beschwerdeführers, noch lange nach der erleichterten Einbürgerung im Hause seiner Ehefrau gewohnt zu haben, führt zu keiner anderen Beurteilung. Aus seinem gesamten Vorbringen ist auch nicht ersichtlich, in welcher Weise die Ehegatten miteinander verbunden waren und gemeinsam in die Zukunft blickten. Dementsprechend ist davon auszugehen, dass der Beschwerdeführer mit seiner Erklärung vom 22. November 2002 bewusst falsche Angaben über den Zustand seiner Ehe gemacht und sich seine erleichterte Einbürgerung erschlichen hat.</w:t>
      </w:r>
    </w:p>
    <w:p>
      <w:r>
        <w:rPr>
          <w:b/>
        </w:rPr>
        <w:t>E. 10</w:t>
      </w:r>
    </w:p>
    <w:p>
      <w:r>
        <w:t>Die vorinstanzliche Verfügung vom 11. September 2008 ist somit im Ergebnis als rechtmässig und angemessen zu bestätigen (Art. 49 VwVG) und die Beschwerde infolgedessen abzuweisen.</w:t>
      </w:r>
    </w:p>
    <w:p>
      <w:r>
        <w:rPr>
          <w:b/>
        </w:rPr>
        <w:t>E. 11</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