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C-6332/2008 vom 9. Februar 2011</w:t>
      </w:r>
    </w:p>
    <w:p>
      <w:r>
        <w:t>Bundesverwaltungsgericht, 2011-02-09, FR</w:t>
      </w:r>
    </w:p>
    <w:p>
      <w:r>
        <w:rPr>
          <w:b/>
        </w:rPr>
        <w:t xml:space="preserve">Quelle: </w:t>
      </w:r>
      <w:r>
        <w:t>https://mcp.opencaselaw.ch/entscheid/bvger_C-6332_2008</w:t>
      </w:r>
    </w:p>
    <w:p>
      <w:r>
        <w:t>FR: TAF C-6332/2008 du 9 février 2011</w:t>
      </w:r>
    </w:p>
    <w:p>
      <w:r>
        <w:t>IT: TAF C-6332/2008 del 9 febbraio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la demande de prestations de l'assurance-invalidité date du 22 mai 2006 et la décision litigieuse a été prononcée le 28 août 2008. Les dispositions de la 5ème révision de la LAI et de la LPGA entrées en vigueur le 1er janvier 2008 sont donc applicables et les dispositions citées ci-après sont, sauf précision contraire, celles en vigueur à compter du 1er janvier 2008. Toutefois, le droit à la rente s'étendant jusqu'au 31 décembre 2007 est examiné à la lumière des anciennes dispositions.</w:t>
      </w:r>
    </w:p>
    <w:p>
      <w:r>
        <w:rPr>
          <w:b/>
        </w:rPr>
        <w:t>E. 3.3</w:t>
      </w:r>
    </w:p>
    <w:p>
      <w:r>
        <w:t>Le recourant a présenté sa demande de rente le 19 septembre 2005 (AI pce 1 p. 4).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19 septembre 2004 (12 mois avant le dépôt de la demande) ou si le droit à une rente était né entre cette date et le 28 août 2008, date de la décision attaquée marquant la limite dans le temps du pouvoir d'examen de l'autorité de recours (ATF 129 V 1 consid. 1.2; ATF 129 V 222, consid. 4.1; ATF 121 V 362 consid. 1b).</w:t>
      </w:r>
    </w:p>
    <w:p>
      <w:r>
        <w:rPr>
          <w:b/>
        </w:rPr>
        <w:t>E. 4</w:t>
      </w:r>
    </w:p>
    <w:p>
      <w:r>
        <w:t>Tout requérant doit remplir cumulativement les conditions suivantes pour avoir droit à une rente de l'assurance invalidité suisse: - être invalide au sens de la LPGA/LAI (art. 8 LPGE, art. 4, 28, 29 LAI) et- avoir versé des cotisations à l'AVS/AI durant au moins une année (art. 36 LAI en vigueur jusqu'au 31 décembre 2007), respectivement - à compter du 1er janvier 2008 - durant trois années au total, dont au moins une en Suisse, auprès d'une assurance sociale assimilée d'un Etat membre de l'Union européenne (UE) ou de l'Association européenne de libre échange (FF 2005 p. 4291; art. 45 du règlement 1408/71). En l'occurrence, le recourant remplit la condition liée à la durée minimale de cotisations. Il reste dès lors à examiner si l'intéressé pouvait être qualifié d'invalide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5.2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5.3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7.1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w:t>
      </w:r>
    </w:p>
    <w:p>
      <w:r>
        <w:t>Il appert notamment du rapport E 213 du 26 février 2008, que le recourant souffre d'un traumatisme cranéo-encéphalique avec hématomes parenchymateux frontaux droit et gauche; de crises d'épilepsie partielle secondaire généralisée; d'une hypoacousie bilatérale et d'un syndrome dépressif de large évolution (pce 34);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w:t>
      </w:r>
    </w:p>
    <w:p>
      <w:r>
        <w:t>Il se pose ensuite la question de savoir si l'exercice d'une activité lucrative peut, sur le plan médical, être exigé du recourant et, dans l'affirmative, dans quelle mesure. X._______ soutient que la sécurité sociale espagnole l'a mis au bénéfice d'une rente complète d'invalidité suite à sa chute du 18 janvier 2005. Il déclare souffrir de détériorations cognitives qui se manifestent par un manque d'initiatives personnelles. Il doit dès lors être placé sous la supervision d'un tiers. A cela s'ajoute une perte auditive bilatérale et des crises d'épilepsie. Il conclut à la reconnaissance d'une incapacité de gain de 70%, subsidiairement de 50%. L'OAIE, se fondant sur l'expertise médicale qu'elle a ordonné en cours d'instruction, estime que le recourant garde la possibilité d'exercer sa profession d'agriculteur à temps partiel ou une activité plus légère à 100% sous surveillance et se prononce en faveur d'un rejet du recours.</w:t>
      </w:r>
    </w:p>
    <w:p>
      <w:r>
        <w:rPr>
          <w:b/>
        </w:rPr>
        <w:t>E. 10</w:t>
      </w:r>
    </w:p>
    <w:p>
      <w:r>
        <w:t>Il convient de noter, à titre préliminaire que,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Il n'est de ce fait pas déterminant que l'institution de sécurité sociale espagnole aient, en date du 14 décembre 2007, reconnu à l'assuré le droit de percevoir une rente entière d'invalidité. Il n'y a ainsi pas lieu de se prononcer sur les divergences entre la notion d'invalidité dans les ordres juridiques suisse et espagnol.</w:t>
      </w:r>
    </w:p>
    <w:p>
      <w:r>
        <w:rPr>
          <w:b/>
        </w:rPr>
        <w:t>E. 11.1</w:t>
      </w:r>
    </w:p>
    <w:p>
      <w:r>
        <w:t>En l'espèce, les médecins qui ont examiné X._______ se rejoignent globalement sur le diagnostic à retenir: la chute du 18 janvier 2005 a engendré un traumatisme crânien avec hémorragie, plus particulièrement une détérioration cognitive de prédominance frontale avec pour conséquences une perte de mémoire et une apathie. L'assuré présente également des crises d'épilepsie partielles, traitée par Epanutin et Keppra, ainsi qu'une hypoacousie bilatérale nécessitant le port d'un appareil auditif. Un syndrome dépressif a été évoqué dans un second temps. Le recourant était encore connu, antérieurement à son accident, pour alcoolisme chronique.</w:t>
      </w:r>
    </w:p>
    <w:p>
      <w:r>
        <w:rPr>
          <w:b/>
        </w:rPr>
        <w:t>E. 11.2</w:t>
      </w:r>
    </w:p>
    <w:p>
      <w:r>
        <w:t>Cela étant, le Tribunal constate un désaccord important entre les différents intervenants s'agissant de la capacité de travail résiduelle du recourant.Dans un premier rapport E 213 du 26 avril 2006 (AI pce 17), la Dresse B._______ a fait siennes les recommandations du comité d'évaluation de la direction provinciale de l'INSS proposant de reconnaître à X._______ une incapacité de travail totale (AI pce 13). Cette conclusion se fonde essentiellement sur le rapport médical du 7 septembre 2005 de la Dresse A._______, du service de neurologie SERGAS. Ce rapport, qui est bref, dresse un constat assez alarmant: la détérioration cognitive subie suite au traumatisme crânien rend X._______ complètement dépendant de l'aide d'un soignant, sauf pour ce qui est de se nourrir et de s'habiller, en raison d'un sévère manque d'initiative et de pertes de mémoire s'agissant d'événements récents (AI pce 15). La Dresse B._______ remarque en outre une lacune de la motricité bimanuelle, voire unimanuelle. Le Dr C._______, médecin généraliste de l'OAIE, s'est toutefois étonné, le 7 mars 2007, que l'état de santé du recourant, présenté dans le formulaire E 213, fut relativement éloigné de ce qu'avait décrit le Dr H._______, neurologue, dans son rapport de sortie du 17 février 2005, réalisé un mois après l'accident. Le Dr H._______ avait en effet jugé que l'état général de X._______ était bon; ce dernier était alerte, attentif et orienté, l'appareil moteur et la coordination dans la norme (AI pce 16). Face à ce constat, la décision de l'OAIE d'avoir recours à une expertise médicale apparaît parfaitement opportune, puisqu'en mesure d'apporter un éclairage complémentaire sur l'état de santé du recourant. Au niveau épileptique, le Dr D._______, neurologue mandaté par l'INSS pour mener l'expertise, a remarqué que depuis que l'assuré suivait son traitement, les crises étaient largement sous contrôle. Il a noté que le patient présentait une série d'altérations de son comportement, qui se caractérisaient par un manque d'initiative et un désintérêt pour les autres. La séparation d'avec son épouse, qui datait de l'époque où il travaillait à l'étranger, avait contribué à cet état. L'assuré était en mesure de travailler au champ et de maintenir son ménage, pour autant que quelqu'un lui indique ce qu'il devait faire, car il n'avait pas d'initiative propre. Ses relations sociales étaient maintenues et sa conversation cohérente. Il pouvait sortir seul de chez lui sans être désorienté, mais il ne le faisait pas de crainte d'avoir une crise. Il pouvait conduire. L'examen neurologique montre des difficultés de concentration. Le Dr D._______ conclut que X._______ souffre d'un trouble de type frontal qui se manifeste par une apathie et un manque d'intérêt pour la réalisation d'activités, une humeur aussi conditionnée par un état dépressif de large évolution, pour lequel il recommande un traitement par Deprax (un antidépresseur à large spectre). Ses fonctions supérieures étant bien conservées, il serait en mesure d'effectuer un travail simple auquel il est habitué, mais nécessite une personne qui le supervise (AI pce 30). Pour le Tribunal, il s'agit là d'une pièce centrale, émanant d'un spécialiste, qui repose sur une étude circonstanciée de la situation médicale du recourant et qui aboutit à des conclusions claires et motivées, dont il ne saurait s'écarter sans motifs impérieux. En outre, le TAF retient que le certificat médical, nettement plus succinct, du Dr E._______ du 13 février 2008 va dans le même sens: il signale également un sérieux manque d'initiative, qui requiert la supervision d'un membre de la famille (AI pce 32).</w:t>
      </w:r>
    </w:p>
    <w:p>
      <w:r>
        <w:rPr>
          <w:b/>
        </w:rPr>
        <w:t>E. 11.3</w:t>
      </w:r>
    </w:p>
    <w:p>
      <w:r>
        <w:t>Dans ces circonstances, le Tribunal, à l'instar de l'OAIE, ne peut qu'être circonspect à la lecture du second rapport E 213 du 26 février 2008 (AI pce 34). Bien que le Dr G._______ ait eu connaissance des résultats de l'expertise médicale du Dr D._______, dont il reprend de larges extraits, il semble confirmer une incapacité de travail permanente sans apporter la moindre explication supplémentaire quant aux raisons de son analyse, et sans que la partie finale du formulaire E 213 n'ait même été complétée. Le Dr G._______ n'avance ainsi aucun argument médical propre à contrer les conclusions de l'expertise du Dr D._______. Il se contente de confirmer le rapport E 213 précédent (établi par la Dresse B._______), qui reposait lui-même essentiellement sur le certificat de la Dresse A._______. Or, comme il a déjà été dit, ce certificat comportait une appréciation nettement moins fouillée que celle du Dr D._______. Plus encore, il était antérieure de 30 mois à l'expertise du Dr D._______ et ne pouvait dès lors tenir compte des dernières évolutions constatées dans l'état de santé du recourant. Dans ce contexte, il faut également rappeler qu'une valeur probante supérieure doit être reconnue à une expertise diligentée par un assureur-invalidité et mise en oeuvre par un organisme public qu'à un examen médical privé (ATF 125 V 151).</w:t>
      </w:r>
    </w:p>
    <w:p>
      <w:r>
        <w:rPr>
          <w:b/>
        </w:rPr>
        <w:t>E. 11.4</w:t>
      </w:r>
    </w:p>
    <w:p>
      <w:r>
        <w:t>Eu égard à ce qui précède, le Tribunal peut faire siennes les conclusions figurant dans l'expertise du 7 mars 2008, sur lesquelles le Dr C._______ s'est au demeurant basé pour rédiger sa prise de position médicale du 28 mai 2008 (AI pce 36), à l'origine de la décision querellée. Le TAF note encore que la perte bilatérale de l'ouïe, soulagée au moyen d'un appareil auditif, ne fait pas non plus obstacle à l'exercice d'une activité de substitution, pas plus que l'épilepsie, laquelle est traitée adéquatement. Aussi, force est de constater qu'à partir du 17 février 2005 (date de sa sortie d'hôpital), voire à partir d'août 2005 (date où les crises d'épilepsie ont été globalement sous contrôle), X._______ peut exercer à 100% dans une activité de production simple et répétitive, pour autant qu'il soit placé sous supervision, ou à 50% dans son ancienne profession d'agriculteur, toujours sous la surveillance d'un tiers.</w:t>
      </w:r>
    </w:p>
    <w:p>
      <w:r>
        <w:rPr>
          <w:b/>
        </w:rPr>
        <w:t>E. 12.1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[OFS] (ATF 126 V 75 consid. 3b/aa et bb).</w:t>
      </w:r>
    </w:p>
    <w:p>
      <w:r>
        <w:rPr>
          <w:b/>
        </w:rPr>
        <w:t>E. 12.2</w:t>
      </w:r>
    </w:p>
    <w:p>
      <w:r>
        <w:t>En l'espèce, l'OAIE a effectué une évaluation de l'invalidité selon la méthode générale par une comparaison de revenus entre le salaire mensuel moyen d'un salarié avec des connaissances professionnelles spécialisées dans le secteur primaire, horticulture, en 2006 (salaire de valide), avec un revenu théorique moyen 2006 pour des activités de substitution simples et répétitives proposées par le service médical de l'OAIE (salaire avec invalidité). Il a augmenté le salaire de valide de 10% pour prendre en compte l'expérience de X._______ dans le domaine agricole, puis a adapté ces montants aux horaires usuels de chaque branche. Ayant en outre effectué une réduction de 15% sur le revenu d'invalide pour tenir compte des particularités du cas d'espèce, l'autorité inférieure a constaté que l'assuré, du fait de son invalidité, subissait une diminution de sa capacité de gain de 22.73% ([5'246.35 - 4'053.99] x 100 : 5'246.35). Cette manière de procéder donne lieu aux remarques suivantes. On note tout d'abord que l'administration a retenu la catégorie "horticulture" par défaut, étant donné que les données statistiques fournies par l'ESS ne contiennent pas de salaires de référence quant aux personnes employées dans le secteur agricole. Ceci n'est pas conforme à la jurisprudence. En l'occurrence, il est admis que le recourant a exercé en dernier lieu la profession d'agriculteur à son compte. Or, le Tribunal fédéral a statué que le revenu statistique d'employés dans l'horticulture selon l'ESS ne permet pas de déterminer le salaire de personnes exerçant la profession d'agriculteur à titre indépendant de façon suffisamment fiable (arrêt du Tribunal fédéral 9C_335/2007 du 8 mai 2008 consid. 3.3.3). Il convient plutôt de se référer aux rapports agricoles publiés par l'Office fédéral de l'agriculture (OFAG) qui livrent des références plus précises en la matière (cf. arrêt du Tribunal administratif fédéral C-3510/2007 du 24 août 2009 consid. 11.3.2 s.). Le salaire de personne valide doit donc être calculé in casu sur la base de ces données. Par ailleurs, il s'agit en principe de comparer les revenus en fonction de ce qu'ils étaient, ou auraient pu être, en 2006, douze mois après l'apparition des atteintes causant l'incapacité survenue le 18 janvier 2005 (art. 29 al. 1 let. b LAI; ATF 129 V 222 consid. 4.3.1 et 4.4; ATF 128 V 174; arrêt du Tribunal administratif fédéral C-4599/2007 du 27 avril 2009 consid. 10.1). La comparaison des revenus doit donc être effectuée sur la bases des données salariales portant sur l'année 2006.</w:t>
      </w:r>
    </w:p>
    <w:p>
      <w:r>
        <w:rPr>
          <w:b/>
        </w:rPr>
        <w:t>E. 12.3</w:t>
      </w:r>
    </w:p>
    <w:p>
      <w:r>
        <w:t>Au vu de ce qui précède, il sied donc de se baser sur les revenus moyens des agriculteurs suisses en 2006 pour déterminer le salaire de valide. Les chiffres déterminants ressortent du rapport agricole 2007. Le revenu du travail par personne, enregistré en 2006, s'élevait en moyenne à Fr. 34'492.-- (annexe au rapport agricole 2007, tableau A17 "Résultats d'exploitation: toutes les régions", Revenu du travail par unité de main-d'oeuvre familiale). Il convient d'ajouter à ce montant le revenu accessoire moyen réalisé par personne en 2006 d'un montant de Fr. 22'939.-- (même tableau, Revenu extra-agricole). Le revenu hypothétique annuel de valide s'élève donc à Fr. 57'431.--. En l'absence d'activité lucrative, le revenu de personne invalide doit également être déterminé sur la base de données statistiques. Il convient cependant d'adapter le calcul effectué par l'administration. Dans la mesure où le recourant garde une possibilité de travailler en tant qu'ouvrier non qualifié (niveau 4) dans les secteurs primaire ou secondaire, le Tribunal prendra la moyenne du revenu d'horticulteur (01) et celle générale du secteur de production (10-45) du Tableau TA1 relatif aux salaires mensuels bruts standardisés de l'ESS 2006. Il obtient ainsi un revenu statistique moyen mensuel de Fr. 4'215.50 ([Fr. 3'413.-- + Fr. 5012.--] : 2), ou annuel de Fr. 50'550.--. Cette donnée (calculée sur 40h./sem.) doit être adaptée au nombre d'heure hebdomadaire effectué en moyenne en 2008 dans ces deux secteurs ([42.9 + 41.4] : 2 = 42.15h./sem., Statistique de la durée normale du travail dans les entreprises [DNT] de l'OFS), soit Fr. 53'267.--, montant qui représente le revenu théorique annuel d'une activité de substitution à 100%. Il est encore nécessaire de réduire ce dernier montant d'un pourcentage qui prenne en considération les circonstances personnelles et professionnelles de X._______. L'administration a opéré à une réduction du salaire d'invalide de 15%. Toutefois, il faut garder à l'esprit qu'en raison de son handicap, le recourant n'est capable d'exercer une activité lucrative de substitution que sous la supervision d'un tiers. Il s'agit d'un handicap significatif sur le marché du travail actuel, dont l'OAIE n'a manifestement pas suffisamment tenu compte. Vu les circonstances particulières de son cas, il se justifie donc d'accorder au recourant l'abattement maximal de 25% admis par la jurisprudence (ATF 124 V 728 consid. 5). Au final, le revenu annuel d'invalide de X._______ s'élève à Fr. 39'950.25.</w:t>
      </w:r>
    </w:p>
    <w:p>
      <w:r>
        <w:rPr>
          <w:b/>
        </w:rPr>
        <w:t>E. 12.4</w:t>
      </w:r>
    </w:p>
    <w:p>
      <w:r>
        <w:t>Il en découle que la comparaison du revenu sans invalidité de Fr. 57'431.-- au revenu d'invalide de Fr. 39'950.25 fait apparaître un préjudice économique de 30.40%. Ce taux, inférieur à 40%, n'est pas suffisant pour ouvrir le droit à une rente.</w:t>
      </w:r>
    </w:p>
    <w:p>
      <w:r>
        <w:rPr>
          <w:b/>
        </w:rPr>
        <w:t>E. 13.1</w:t>
      </w:r>
    </w:p>
    <w:p>
      <w:r>
        <w:t>Il est encore utile de préciser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 Blaser, Zum Verhältnismässigkeitsgrundsatz im staatlichen Leistungsrecht, thèse, Berne 1985, p. 131).</w:t>
      </w:r>
    </w:p>
    <w:p>
      <w:r>
        <w:rPr>
          <w:b/>
        </w:rPr>
        <w:t>E. 13.2</w:t>
      </w:r>
    </w:p>
    <w:p>
      <w:r>
        <w:t>Le TAF souligne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 Jurisprudence et pratique administrative des autorités d'exécution de l'AVS/AI (VSI) 1999 p. 247 consid. 1, 1998 p. 296 consid. 3b). Dans ces circonstances, le recours doit être rejeté et la décision entreprise confirmée.</w:t>
      </w:r>
    </w:p>
    <w:p>
      <w:r>
        <w:rPr>
          <w:b/>
        </w:rPr>
        <w:t>E. 14</w:t>
      </w:r>
    </w:p>
    <w:p>
      <w:r>
        <w:t>Vu l'issue de la cause, les frais de procédure, fixés par le Tribunal de céans à Fr. 300.--, sont mis à la charge du recourant (art. 69 al. 2 LAI et art. 3 let. b du règlement du 21 février 2008 concernant les frais, dépens et indemnités fixés par le Tribunal administratif fédéral [FITAF, RS 173.320.2]). Ce montant est compensé par l'avance de frais fournie de Fr. 307.--, dont le solde, par Fr. 7.--. doit être restitué au recourant. Il n'est pas alloué de dépens (art. 64 al. 1 PA a contrario en relation avec les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