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C-6331/2013 vom 12. Dezember 2014</w:t>
      </w:r>
    </w:p>
    <w:p>
      <w:r>
        <w:t>Bundesverwaltungsgericht, 2014-12-12, DE</w:t>
      </w:r>
    </w:p>
    <w:p>
      <w:r>
        <w:rPr>
          <w:b/>
        </w:rPr>
        <w:t xml:space="preserve">Quelle: </w:t>
      </w:r>
      <w:r>
        <w:t>https://mcp.opencaselaw.ch/entscheid/bvger_C-6331_2013</w:t>
      </w:r>
    </w:p>
    <w:p>
      <w:r>
        <w:t>FR: TAF C-6331/2013 du 12 décembre 2014</w:t>
      </w:r>
    </w:p>
    <w:p>
      <w:r>
        <w:t>IT: TAF C-6331/2013 del 12 dicembre 2014</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20. Dezember 1968 über das Verwaltungsverfahren (VwVG, SR 172.021), soweit das Bundesgesetz vom 17. Juni 2005 über das Bundesverwaltungsgericht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4. Oktober 2013 beschwerdelegitimiert ist (Art. 59 ATSG), ist auf die frist- und formgerecht eingereichte Beschwerde einzutreten (Art. 60 ATSG und Art. 52 Abs. 1 VwVG).</w:t>
      </w:r>
    </w:p>
    <w:p>
      <w:r>
        <w:rPr>
          <w:b/>
        </w:rPr>
        <w:t>E. 2</w:t>
      </w:r>
    </w:p>
    <w:p>
      <w:r>
        <w:t>Im Folgenden sind vorab die im vorliegenden Verfahren anwendbaren Normen und Rechtsgrundsätze darzustellen.</w:t>
      </w:r>
    </w:p>
    <w:p>
      <w:r>
        <w:rPr>
          <w:b/>
        </w:rPr>
        <w:t>E. 2.1</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erfolgte die letzte materielle Würdigung des Rentenanspruchs des Beschwerdeführer unter Berücksichtigung seines Gesundheitszustandes - wie dies bereits im Urteil B 5133/2011 festgehalten wurde - am 1. Oktober 2007 (IV-act. 190; Sachverhalt Bst. D; vgl. auch E. 2.4.2). Die vorliegend angefochtene Verfügung der IVSTA wurde am 4. Oktober 2013 erlassen (Sachverhalt Bst. I).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sich der Sachverhalt vor diesem Zeitpunkt ereignet hat, ist für die Zeit vom 1. Oktober 2007 bis zum 31. Dezember 2007 die Fassung gemäss den am 1. Januar 2004 in Kraft getretenen Änderungen (4. IV-Revision; IVG in der Fassung vom 21. März 2003 [AS 2003 3837] und IVV in der Fassung vom 21. Mai 2003 [AS 2003 3859]) anwendbar. Für die Zeit ab dem 1. Januar 2008 bis zum 31. Dezember 2011 ist der Sachverhalt gemäss den am 1. Januar 2008 in Kraft getretenen Änderungen (5. IV-Revision; IVG in der Fassung vom 6. Oktober 2006 [AS 2007 5129] und IVV in der Fassung vom 28. September 2007 [AS 2007 5155]) zu beurteilen.</w:t>
      </w:r>
    </w:p>
    <w:p>
      <w:r>
        <w:rPr>
          <w:b/>
        </w:rPr>
        <w:t>E. 2.2</w:t>
      </w:r>
    </w:p>
    <w:p>
      <w:r>
        <w:t>Der Beschwerdeführer ist Staatsangehöriger von Serbien und hat dort seinen Wohnsitz. Die Schweiz hat mit diversen Nachfolgestaaten des ehemaligen Jugoslawien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0.831.109.818.1, in Kraft seit 1. März 1964; nachfolgend: Sozialversicherungsabkommen) Anwendung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in Art. 8 Bst. e als im vorliegenden Verfahren relevante Abweichungen vom Grundsatz der Gleichstellung vor, dass serbischen Staatsangehörigen, sofern sie zu weniger als 50 % invalid sind, eine Rente nur gewährt wird, wenn sie in der Schweiz wohnen (siehe auch E. 2.3.2). Im Übrigen beantwortet sich die Frage, ob die Vorinstanz dem Beschwerdeführer zu Recht keine höhere Rente zugesprochen hat, aufgrund der schweizerischen Rechtsvorschriften (vgl. Art. 1, 2 und 4 des Sozialversicherungsabkommens; vgl. zum Ganzen: Urteil des Bundesverwaltungsgerichts C 950/2012 vom 26. November 2014 E. 2.1).</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2.3.1</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2.3.2</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Diese Regel entspricht jener in Art. 8 Bst. e Sozialversicherungsakommen (E. 2.2).</w:t>
      </w:r>
    </w:p>
    <w:p>
      <w:r>
        <w:rPr>
          <w:b/>
        </w:rPr>
        <w:t>E. 2.4.1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134 V 131 E. 3, BGE 130 V 343 E. 3.5 je mit Hinweisen). Dagegen stellt die bloss unterschiedliche Beurteilung der Auswirkungen eines im Wesentlichen unverändert gebliebenen Gesundheitszustandes auf die Arbeitsfähigkeit für sich allein genommen keinen Revisionsgrund im Sinn von Art. 17 Abs. 1 ATSG dar (vgl. BGE 112 V 371 E. 2b mit Hinweisen; Sozialversicherung Rechtsprechung [SVR] 2006 IV Nr. 45 E. 2; 2004 IV Nr. 5 E. 3.3, 3.4; 1996 IV Nr. 70 S. 104 E. 3a; Ueli Kieser, ATSG-Kommentar, 2. Auflage, Zürich 2009, Art. 17 Rz. 16 ff.). Auch eine neue Verwaltungs- oder Gerichtspraxis rechtfertigt grundsätzlich keine Revision des laufenden Rentenanspruchs zum Nachteil des Versicherten (BGE 135 V 201 E. 6.1.1 mit Hinweisen, u.a. auf BGE 115 V 308 E. 4a/dd).</w:t>
      </w:r>
    </w:p>
    <w:p>
      <w:r>
        <w:rPr>
          <w:b/>
        </w:rPr>
        <w:t>E. 2.4.2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vgl. auch BGE 130 V 71 E. 3.2.3; Urteil des Bundesgerichts 9C_438/2009 vom 26. März 2010 E. 1 mit Hinweisen). Eine Verfügung ist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2.5.2</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 des Bundesgerichts 9C_323/2009 vom 14. Juli 2009 E. 4.3.2). Auf das Ergebnis versicherungsinterner ärztlicher Abklärungen - zu denen die RAD-Berichte gehören - kann jedoch nicht abgestellt werden, wenn auch nur geringe Zweifel an ihrer Zuverlässigkeit und Schlüssigkeit bestehen (BGE 139 V 225 E. 5.2, 135 V 465 E. 4.4 und 4.7; Urteile des Bundesgerichts 8C_197/2014 vom 3. Oktober 2014 E. 4.2, 8C_385/2014 vom 16. Sep­tember 2014 E. 4.2.2). Die IV-Stellen werden zudem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2.5.3</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Auch aus dem Ausland stammende Beweismittel unterstehen der freien Beweiswürdigung des Gerichts (vgl. Urteil des Eidgenössischen Versicherungsgerichts [EVG, heute: Bundesgericht] vom 11. Dezember 1981 i.S. D; zum Grundsatz der freien Beweiswürdigung BGE 125 V 351 E. 3a; Urteil des Bundesverwaltungsgerichts A 2552/2012 vom 21. Juli 2014 E. 3.1).</w:t>
      </w:r>
    </w:p>
    <w:p>
      <w:r>
        <w:rPr>
          <w:b/>
        </w:rPr>
        <w:t>E. 2.6.1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193 E. 2, 122 V 157 E. 1a, je mit Hinweisen).</w:t>
      </w:r>
    </w:p>
    <w:p>
      <w:r>
        <w:rPr>
          <w:b/>
        </w:rPr>
        <w:t>E. 2.6.2</w:t>
      </w:r>
    </w:p>
    <w:p>
      <w:r>
        <w:t>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Bundesgerichts 8C_392/2011 vom 19. September 2011 E. 2.2).</w:t>
      </w:r>
    </w:p>
    <w:p>
      <w:r>
        <w:rPr>
          <w:b/>
        </w:rPr>
        <w:t>E. 3</w:t>
      </w:r>
    </w:p>
    <w:p>
      <w:r>
        <w:t>Damit ist darauf einzugehen, ob die Vorinstanz in ihrer Verfügung vom 4. Oktober 2013 zu Recht davon ausgegangen ist, dem Beschwerdeführer stände weiterhin eine halbe Rente zu.</w:t>
      </w:r>
    </w:p>
    <w:p>
      <w:r>
        <w:rPr>
          <w:b/>
        </w:rPr>
        <w:t>E. 3.1</w:t>
      </w:r>
    </w:p>
    <w:p>
      <w:r>
        <w:t>Das Bundesverwaltungsgericht wies die Sache an die Vorinstanz zurück, damit diese im Sinn der Erwägungen neu verfüge, wobei in den Erwägungen festgehalten wurde, die Vorinstanz habe sich insbesondere betreffend Bauchhernie zu äussern (vgl. Sachverhalt Bst. H.). Dies hat die Vorinstanz getan. Es wurden Berichte serbischer Ärzte vom Beschwerdeführer eingereicht, die vom RAD-Arzt Dr. med. C._______, FMH Allgemeine Medizin, gewürdigt wurden (IV-II-act. 52). Dieser legt nachvollziehbar dar, dass der Beschwerdeführer aufgrund der Hernie keine körperlich schweren Arbeiten mehr ausführen könne. Dieser Umstand wurde aber bei der Berechnung des IV-Grades bereits beachtet. Wie der RAD-Arzt zu Recht ausführt, werden nicht die einzelnen Leiden summiert, sondern es wird eine Gesamtschau durchgeführt. Bei dieser Betrachtungsweise hat sich die Arbeitsfähigkeit des Beschwerdeführers nicht geändert. Nach wie vor sind schwere Arbeiten nicht zumutbar, leichte jedoch schon. Dass kein Bericht einer Fachgruppe eingeholt wurde, ist angesichts der sehr begrenzten Fragestellung nicht zu beanstanden. Auch ist ein Facharzt für Allgemeine Medizin in der Lage, die Auswirkungen der gesundheitlichen Beschwerden des Beschwerdeführers auf dessen Arbeitsfähigkeit aufgrund der in den Akten liegenden Berichte zu beurteilen. Die entsprechende Rüge des Beschwerdeführers erweist sich als unbegründet.</w:t>
      </w:r>
    </w:p>
    <w:p>
      <w:r>
        <w:rPr>
          <w:b/>
        </w:rPr>
        <w:t>E. 3.2</w:t>
      </w:r>
    </w:p>
    <w:p>
      <w:r>
        <w:t>Den Akten ist weiter zu entnehmen, dass der Beschwerdeführer unter Diabetes, Bluthochdruck sowie Adipositas leidet. Dass sich letztere auf die Arbeitsfähigkeit in leichten Tätigkeiten auswirken könnte, ist nicht ersichtlich. Zudem legt der RAD-Arzt nachvollziehbar dar, dass Diabetes und Bluthochdruck für sich genommen nicht invalidisierend sind. Ein adäquat behandelter, gut eingestellter Diabetes mellitus ist in der Regel nicht mit einer Arbeitsunfähigkeit verbunden (vgl. Urteil des EVG I 94/06 vom 23. August 2006 E. 3.4). Auch Adipositas an sich bewirkt keine Invalidität. Eine solche kann nur angenommen werden, wenn das Übergewicht schon zu Gesundheitsschäden geführt hat oder wenn es selber die Folge von gesundheitlichen Störungen ist, dadurch die Erwerbsfähigkeit wesentlich vermindert wird und diese durch keine zumutbaren Massnahmen in bedeutendem Grade verbessert werden kann (vgl. Urteil des Bundesgerichts 9C_48/2009 vom 1. Oktober 2009 E. 2.3). Den Akten ist denn auch nicht zu entnehmen, dass diese Krankheiten dem Beschwerdeführer weitere Probleme bereiteten. Weiter hat der Beschwerdeführer Ohrenbeschwerden. In Berichten vom 26. Dezember 2012 (IV-II-act. 29), 5. und 7. Juli 2013 (IV-II-act. 42 und 43 S. 3 f.) wurde eine Mittelohrentzündung festgestellt. Am 29. Mai 2013 war gar von einer Perforation des Trommelfells die Rede (IV-II-act. 46). Bei der Entlassung wurde beidseits eine chronische Mittelohrentzündung festgehalten. Die Laboranalysen befanden sich nach der Behandlung in den Referenzgrenzwerten. Weiter ergab eine Untersuchung eine Hörstörung beidseits. Es wurde aber auch eine Besserung des lokalen Befundes nach einer Therapie festgestellt. Dass sich diese Ohrenbeschwerden auf die ohnehin eingeschränkte Arbeitsfähigkeit des Beschwerdeführers weiter auswirken würden, ist nirgends ersichtlich.</w:t>
      </w:r>
    </w:p>
    <w:p>
      <w:r>
        <w:rPr>
          <w:b/>
        </w:rPr>
        <w:t>E. 3.3</w:t>
      </w:r>
    </w:p>
    <w:p>
      <w:r>
        <w:t>Soweit der Beschwerdeführer ausführen lässt, er könne aufgrund von Verdauungsproblemen nur noch flüssige Nahrung zu sich nehmen (IV-II-act. 47), ist ihm mit dem RAD-Arzt entgegenzuhalten, dass er gegenüber Prof. Dr. Sc. med. D._______, Facharzt für allgemeine Chirurgie, am 25. Januar 2013 äusserte, es gehe ihm gut und er könne sich normal ernähren (IV-II-act. 28). Abgesehen von der Behauptung des Beschwerdeführers, wird einzig in einem Kurzbericht vom 26. März 2013 von Dr. med. E._______, e.h., Facharzt für Neuropsychiatrie, festgehalten, er habe Beschwerden nach der Speiseröhrenoperation (IV-II-act. 25 S. 6; Übersetzung: act. 15/4). Worin sich die Verdauungsprobleme des Beschwerdeführers allenfalls äussern könnten, wird allerdings nicht erwähnt. Zudem ist nicht festgehalten, dass der Arzt, der Facharzt für Neuropsychiatrie und kein Internist ist, den Beschwerdeführer untersucht habe. Möglicherweise handelt es sich also nur um eine Aussage des Beschwerdeführers gegenüber dem Neuropsychiater. Auf diese kurze Aussage kann damit nicht abgestellt werden.</w:t>
      </w:r>
    </w:p>
    <w:p>
      <w:r>
        <w:rPr>
          <w:b/>
        </w:rPr>
        <w:t>E. 3.4</w:t>
      </w:r>
    </w:p>
    <w:p>
      <w:r>
        <w:t>Der Beschwerdeführer reichte vor Bundesverwaltungsgericht weitere Akten ein. Ein Aktenstück trägt das Datum vom 2. Januar 2006 und ist damit von vornherein ungeeignet, neue, seit dem 1. Oktober 2007 entstandene Beschwerden zu belegen. Die Unterlagen vom 13. und 25. November 2013 sind aus der Zeit nach der von der Vorinstanz erlassenen Verfügung und daher hier nur insoweit zu beachten als sie den Gesundheitszustand des Beschwerdeführers vor diesem Zeitpunkt zu belegen vermögen (vgl. E. 2.4.2). Aus dem Labortest vom 13. November 2013 ergibt sich aber nur die bekannte Diabetes und der Facharztbericht vom 25. November 2013 hält nur die schon bekannten Diagnosen fest. Beim Bericht vom 12. Januar oder November 2013 (die Monatsangabe wurde so überschrieben, dass nicht feststellbar ist, welches Datum gilt), unterzeichnet von Dr. med. F._______, Arzt für innere Medizin und Kardiologe, ist zwar nicht ersichtlich, welcher Patient beschrieben wird, es ist aber davon auszugehen, dass es um den Beschwerdeführer geht. Auch hier werden die bekannten Diagnosen festgehalten. Neu kommt eine Sklerose der Aorta sowie eine Insuffizienz der Mitralklappen hinzu. Da diesbezüglich aber nur eine Ultraschalluntersuchung des Herzens nach sechs Monaten vorgeschlagen wird, ist davon auszugehen, dass es sich nicht um ein akutes Problem handelt. Es deutet nichts darauf hin, dass sich hieraus eine weitere Einschränkung in einer leichten Verweistätigkeit ergeben könnte.</w:t>
      </w:r>
    </w:p>
    <w:p>
      <w:r>
        <w:rPr>
          <w:b/>
        </w:rPr>
        <w:t>E. 3.5</w:t>
      </w:r>
    </w:p>
    <w:p>
      <w:r>
        <w:t>Schliesslich liess der Beschwerdeführer im Verlauf des Verfahrens geltend machen, einige der eingereichten Berichte seien nicht übersetzt worden (IV-II-act. 47). Diesen Einwand bringt er zwar in der Beschwerde nicht mehr vor, da das Bundesverwaltungsgericht die angefochtene Verfügung aber von Amtes wegen zu prüfen hat, ist darauf einzugehen. Bei den nicht übersetzten Unterlagen handelt es sich um Labortests, meist Blutwerte (IV-II-act. 25 S. 14, 19-24), einmal auch Urinwerte (IV-II-act. 25 S. 18), die auch ohne Übersetzung verständlich sind. Teilweise fehlt zudem das Datum, was die Einordnung verunmöglicht. Ein EKG ist auf Englisch (IV-II-act. 26). Weiter wurden zwei Ausweise (IV-II-act. 25 S. 13 und 15), ein Dokument über Versicherungsleistungen (IV-II-act. 25 S. 12) und ein Rentenantrag (IV-II-act. 25 S. 16) nicht übersetzt. Der Operationsbericht der Operation vom 22. September 2008 (IV-II-act. 25 S. 10) war bereits Ende 2008 übersetzt worden (IV-act. 256). Die übrigen Dokumente liess das Bundesverwaltungsgericht übersetzen, wobei in einem Bericht vom 26. März 2013 eine Alterssichtigkeit (Presbyopie) und Retinopathien des Augenhintergrundes und Veränderungen der Netzhautgefässe des Beschwerdeführers befundet wurden (IV-II-act. 25 S. 4; Übersetzung: act. 15/2). Bei der Alterssichtigkeit handelt es sich nicht um eine Invalidität, sondern um eine Einschränkung, die im Verlauf des gewöhnlichen Alterungsprozesses auftritt. In einem nächsten Bericht vom 18. Februar 2013 wird neben den bekannten Diagnosen eine Aortainsuffizienz festgestellt (IV-II-act. 25 S. 5; Übersetzung act. 15/3). Diesbezüglich wird auf das in E. 3.4 Ausgeführte verwiesen. In einem weiteren Bericht, möglicherweise vom 26. März 2013 (das Datum ist in der Mitte an der linken Seite angemerkt) wird neben Bekanntem gesagt, aktuell bestünden Beschwerden nach der Speiseröhrenoperation und der Beschwerdeführer habe eine depressive Episode (IV-II-act. 25 S. 6; Übersetzung act. 15/4). Den letztgenannten Kurzbericht betreffend ist bezüglich Beschwerden nach Speiseröhrenoperation auf das in E. 3.3 Gesagte zu verweisen, wo auf diesen Bericht eingegangen wurde. Bezüglich der Diagnose einer depressiven Episode ist dem Bericht nicht zu entnehmen, worauf diese Dia­gnose beruht, insbesondere nicht, ob der Beschwerdeführer eingehend untersucht wurde. Weiter ergibt sich aus den Akten nirgends, dass der Beschwerdeführer deswegen in Behandlung war. Die depressive Episode, die zudem nur als F32 nach ICD-10 und damit nicht genauer eingeordnet wird, bleibt demnach ohne (weitere) Auswirkung auf die Arbeitsfähigkeit.</w:t>
      </w:r>
    </w:p>
    <w:p>
      <w:r>
        <w:rPr>
          <w:b/>
        </w:rPr>
        <w:t>E. 3.6</w:t>
      </w:r>
    </w:p>
    <w:p>
      <w:r>
        <w:t>Der Rechtsvertreter des Beschwerdeführers führte in der Beschwerde aus, fast alle Berichte aus Serbien seien nur sehr kurz und teilweise unleserlich und er habe vorgeschlagen, weitere, den Beschwerdeführer betreffende ausführliche und leserliche ärztliche Unterlagen anzufordern. Einerseits ist dem entgegenzuhalten, dass die Berichte leserlich genug waren, um daraus zu ersehen, dass der Beschwerdeführer ausser den bekannten, kaum weitere Leiden hat, im Gegenteil meist unauffällige Befunde festgehalten werden. Andererseits sind von der Einholung weiterer Berichte keine neuen Erkenntnisse zu erwarten. Vielmehr sind die Leiden des Beschwerdeführers in den vorhandenen Unterlagen ersichtlich. Damit ist in antizipierter Beweiswürdigung von der Einholung weiterer ärztlicher Unterlagen abzusehen.</w:t>
      </w:r>
    </w:p>
    <w:p>
      <w:r>
        <w:rPr>
          <w:b/>
        </w:rPr>
        <w:t>E. 3.7</w:t>
      </w:r>
    </w:p>
    <w:p>
      <w:r>
        <w:t>Zusammengefasst ergibt sich damit, dass seit dem Zeitpunkt der Verfügung vom 1. Oktober 2007 neu hinzugekommen Beschwerden des Beschwerdeführers dessen Arbeitsfähigkeit nicht in einer die Rente beeinflussende Weise zu ändern vermögen. Dem Beschwerdeführer sind nach wie vor leichte Arbeiten zumutbar, wobei die Arbeitsfähigkeit aufgrund des Bedarfs an vermehrten Pausen in diese Arbeiten um 20 % verringert ist. Dies war schon gemäss der Verfügung vom 1. Oktober 2007 der Fall.</w:t>
      </w:r>
    </w:p>
    <w:p>
      <w:r>
        <w:rPr>
          <w:b/>
        </w:rPr>
        <w:t>E. 4</w:t>
      </w:r>
    </w:p>
    <w:p>
      <w:r>
        <w:t>Die Beschwerde ist somit abzuweisen und es bleibt, über die Kosten- und Entschädigungsfolgen zu befinden.</w:t>
      </w:r>
    </w:p>
    <w:p>
      <w:r>
        <w:rPr>
          <w:b/>
        </w:rPr>
        <w:t>E. 4.1</w:t>
      </w:r>
    </w:p>
    <w:p>
      <w:r>
        <w:t>Die Verfahrenskosten werden unter Berücksichtigung des Umfanges und der Schwierigkeit der Streitsache im vorliegenden Verfahren auf Fr. 400.-- festgesetzt (Art. 63 Abs. 4bisVwVG sowie Art. 1, 2 und 4 des Reglements vom 21. Februar 2008 über die Kosten und Entschädigungen vor dem Bundesverwaltungsgericht [VGKE, SR 173.320.2]). Sie sind dem unterliegenden Beschwerdeführer aufzuerlegen (Art. 63 Abs. 1 VwVG). Der einbezahlte Kostenvorschuss ist zur Bezahlung der Verfahrenskosten zu verwenden.</w:t>
      </w:r>
    </w:p>
    <w:p>
      <w:r>
        <w:rPr>
          <w:b/>
        </w:rPr>
        <w:t>E. 4.2</w:t>
      </w:r>
    </w:p>
    <w:p>
      <w:r>
        <w:t>Weder der unterliegende Beschwerdeführer noch die obsiegende Vorinstanz haben Anspruch auf eine Parteientschädigung (Art. 64 Abs. 1 VwVG e contrario und Art. 7 Abs. 3 VGKE).</w:t>
      </w:r>
    </w:p>
    <w:p>
      <w:r>
        <w:rPr>
          <w:b/>
        </w:rPr>
        <w:t>E. 5</w:t>
      </w:r>
    </w:p>
    <w:p>
      <w:r>
        <w:t>Zur Vervollständigung der Akten geht je eine Kopie der Beilagen zu act. 14 und 15 sowohl an den Beschwerdeführer als auch an die Vorinstanz.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