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C-6328/2018 vom 20. Oktober 2020</w:t>
      </w:r>
    </w:p>
    <w:p>
      <w:r>
        <w:t>Bundesverwaltungsgericht, 2020-10-20, FR</w:t>
      </w:r>
    </w:p>
    <w:p>
      <w:r>
        <w:rPr>
          <w:b/>
        </w:rPr>
        <w:t xml:space="preserve">Quelle: </w:t>
      </w:r>
      <w:r>
        <w:t>https://mcp.opencaselaw.ch/entscheid/bvger_C-6328_2018</w:t>
      </w:r>
    </w:p>
    <w:p>
      <w:r>
        <w:t>FR: TAF C-6328/2018 du 20 octobre 2020</w:t>
      </w:r>
    </w:p>
    <w:p>
      <w:r>
        <w:t>IT: TAF C-6328/2018 del 20 ottobre 2020</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qui a effectué le paiement de l'avance de frais dans le délai imparti (art. 63 al. 4 PA), le recours du 27 octobre 2018 est recevable quant à la forme.</w:t>
      </w:r>
    </w:p>
    <w:p>
      <w:r>
        <w:rPr>
          <w:b/>
        </w:rPr>
        <w:t>E. 2.1</w:t>
      </w:r>
    </w:p>
    <w:p>
      <w:r>
        <w:t>Concernant le droit matériel applicable, l'affaire présente un aspect transfrontalier dans la mesure où le recourant, ressortissant espagnol, vivant en Espagne - Etat membre de l'Union européenne (UE) - a travaillé et versé des cotisations en Suisse de 1979 à 1994 (OAIE pce 2, annexes à TAF pce 10).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consid. 2.1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 Il sied de souligner que l'octroi d'une rente étrangère d'invalidité ne préjuge pas l'appréciation de l'invalidité selon la loi suisse (arrêt du TFA I 435/02 du 4 février 2003 consid. 2).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 voir aussi ATF 130 V 253 consid. 2.4 ; arrêt du TFA I 376/05 du 5 août 2005 consid. 3.1), étant précisé que la documentation médicale et administrative fournie par les institutions de sécurité sociale d'un autre Etat membre doit être prise en considération (art. 49 al. 2 du règlement [CE] n° 987/2009). Ainsi, contrairement à ce que semble croire le recourant dans son recours (cf. TAF pce 1), il n'est donc pas en soi déterminant que les autorités espagnoles lui aient reconnu un degré d'invalidité de 62%. Les instances des assurances sociales suisses, dont l'OAIE et les tribunaux, ne sont donc pas liées par les décisions des autorités étrangères en matière d'assurances sociales (ATF 130 V 253 consid. 2.4).</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 Vu la décision litigieuse du 2 octobre 2018 (OAIE pce 58), les dispositions du droit suisse en vigueur dans leur teneur jusqu'au 2 octobre 2018 sont applicables au cas d'espèce.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3.2</w:t>
      </w:r>
    </w:p>
    <w:p>
      <w:r>
        <w:t>Le présent litige porte sur la question de savoir si le recourant a droit à une rente d'invalidité suisse, respectivement si la décision querellée du 2 octobre 2018 se révèle bien fondée.</w:t>
      </w:r>
    </w:p>
    <w:p>
      <w:r>
        <w:rPr>
          <w:b/>
        </w:rPr>
        <w:t>E. 4</w:t>
      </w:r>
    </w:p>
    <w:p>
      <w:r>
        <w:t>A titre initial, il est rappelé que, conformément à l'art. 36 al. 1 LAI, a droit à une rente ordinaire l'assuré qui, lors de la survenance de l'invalidité, compte trois années au moins de cotisation à l'AVS/AI dont au moins une année en Suisse lorsque la personne intéressée a été assujettie à la législation de deux ou plusieurs Etat membre de l'Union européenne (cf. FF 2005 p. 4065 et les art. 6, 46 par. 1 et 57 par. 1 du règlement n°883/2004). En l'occurrence, le recourant ayant cotisé pendant 175 mois, soit pendant plus de 14 ans, à l'assurance-vieillesse, survivants et invalidité suisse (annexe TAF pce 10), il remplit la condition de la durée minimale de cotisation.</w:t>
      </w:r>
    </w:p>
    <w:p>
      <w:r>
        <w:rPr>
          <w:b/>
        </w:rPr>
        <w:t>E. 5.1</w:t>
      </w:r>
    </w:p>
    <w:p>
      <w:r>
        <w:t>Conformément à l'art. 28 al. 1 LAI, le droit à une rente naît notamment dès que l'assuré présente une incapacité de travail de 40% au moins pendant une année sans interruption notable (let. b) et, au terme de cette année, est invalide à 40% au moins (let. c).</w:t>
      </w:r>
    </w:p>
    <w:p>
      <w:r>
        <w:rPr>
          <w:b/>
        </w:rPr>
        <w:t>E. 5.2</w:t>
      </w:r>
    </w:p>
    <w:p>
      <w:r>
        <w:t>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des deux (art. 29 al. 4 LAI ; art. 7 du règlement [CE] n° 883/2004).</w:t>
      </w:r>
    </w:p>
    <w:p>
      <w:r>
        <w:rPr>
          <w:b/>
        </w:rPr>
        <w:t>E. 5.3</w:t>
      </w:r>
    </w:p>
    <w:p>
      <w:r>
        <w:t>En vertu de l'art. 29 al. 1 LAI, le droit à la rente prend naissance au plus tôt à l'échéance d'une période de six mois à compter de la date à laquelle l'assuré a fait valoir son droit aux prestations conformément à l'art. 29 al.1 LPGA (délai de carence ; ATF 142 V 547 consid. 3.2 ; voir aussi ATF 140 V 2 consid. 5.3). L'al. 3 de l'art. 29 LAI prévoit que la rente est versée dès le début du mois au cours duquel le droit prend naissance.</w:t>
      </w:r>
    </w:p>
    <w:p>
      <w:r>
        <w:rPr>
          <w:b/>
        </w:rPr>
        <w:t>E. 5.4</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5.5</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w:t>
      </w:r>
    </w:p>
    <w:p>
      <w:r>
        <w:rPr>
          <w:b/>
        </w:rPr>
        <w:t>E. 6.1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6.2</w:t>
      </w:r>
    </w:p>
    <w:p>
      <w:r>
        <w:t>Ainsi, le point de départ de l'examen du droit aux prestations est l'en-semble des éléments et constatations médicales. L'élément déterminant pour reconnaitre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Cela étant,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ou que des circonstances particulières ne fondent objectivement des doutes quant à l'impartialité ou au bien-fondé de l'évaluation (ATF 135 V 465 consid. 4.4 ; ATF 125 V 351 consid. 3b/bb ; ATF 122 V 157 consid. 1c ; TF 9C_575/205 du 23 mars 2016 consid. 5.2 ; arrêt du TFA I 701/04 du 27 juillet 2005 consid. 2.1.2).</w:t>
      </w:r>
    </w:p>
    <w:p>
      <w:r>
        <w:rPr>
          <w:b/>
        </w:rPr>
        <w:t>E. 6.3</w:t>
      </w:r>
    </w:p>
    <w:p>
      <w:r>
        <w:t>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Ils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 2920 ss). Selon la jurisprudence, il n'est pas interdit aux tribunaux des assurances de se fonder uniquement ou principalement sur les rapports internes de médecins conseils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 2920).</w:t>
      </w:r>
    </w:p>
    <w:p>
      <w:r>
        <w:rPr>
          <w:b/>
        </w:rPr>
        <w:t>E. 6.4</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6.5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7.1</w:t>
      </w:r>
    </w:p>
    <w:p>
      <w:r>
        <w:t>Sur le plan médical, l'OAIE fonde sa décision du 2 octobre 2018 principalement sur l'avis du 21 juillet 2018 du Dr E._______, médecin du service médical interne de l'OAIE (OAIE pce 54), lequel a émis sa prise de position, en se basant sur les pièces du dossier médical constitué dans le cadre de l'instruction de la demande (cf. consid. B.b ; OAIE pce 51).</w:t>
      </w:r>
    </w:p>
    <w:p>
      <w:r>
        <w:rPr>
          <w:b/>
        </w:rPr>
        <w:t>E. 7.2.1</w:t>
      </w:r>
    </w:p>
    <w:p>
      <w:r>
        <w:t>Le Dr E._______ a conclu que l'assuré souffre d'un diabète sucré traité par insuline, d'arthrose aux deux hanches, de périarthrite aux deux épaules, d'un syndrome lombo-vertébral chronique et d'une rétinopathie, qui entraîne une diminution de l'acuité visuelle. Le Tribunal remarque que le médecin du service médical interne de l'OAIE a confirmé les diagnostics, retenus par les Drs B._______, C._______ pour ce qui est du diabète mellitus de type 1 et G._______, lesquels ont examiné l'assuré et disposent de la spécialisation nécessaire pour pouvoir se déterminer valablement sur les atteintes de l'assuré et sur leurs répercussions sur sa capacité de travail, chacun dans son domaine médical.</w:t>
      </w:r>
    </w:p>
    <w:p>
      <w:r>
        <w:rPr>
          <w:b/>
        </w:rPr>
        <w:t>E. 7.2.2</w:t>
      </w:r>
    </w:p>
    <w:p>
      <w:r>
        <w:t>Il appert cependant du rapport du Dr C._______ que le recourant souffre, de plus, d'anémie pernicieuse / vitiligo léger / DLP / Déficit D3 et d'hépatopathie virale (OAIE pce 14). Quand bien même ledit rapport n'est pas exhaustif, ne contenant pas d'anamnèse complète, ni d'analyse du dossier entier et que lesdites affections ne sont ni étayées, ni motivées, elles permettent cependant de douter de l'exhaustivité des diagnostics retenus par le médecin du service médical interne de l'OAIE.</w:t>
      </w:r>
    </w:p>
    <w:p>
      <w:r>
        <w:rPr>
          <w:b/>
        </w:rPr>
        <w:t>E. 7.2.3</w:t>
      </w:r>
    </w:p>
    <w:p>
      <w:r>
        <w:t>S'agissant du certificat médical établi par le Dr F._______ (OAIE pce 34), dont les diagnostics ne diffèrent pas fondamentalement de ceux retenus par le médecin du service médical interne de l'OAIE, hormis en ce qui concerne la dyslipidémie et le glaucome, il ne saurait se voir reconnaître une valeur probante. Ce médecin se borne en effet à lister les atteintes à la santé du recourant, sans les motiver et sans se fonder sur des examens complets. Toutefois, son rapport fonde un doute sur la gravité de l'atteinte oculaire.</w:t>
      </w:r>
    </w:p>
    <w:p>
      <w:r>
        <w:rPr>
          <w:b/>
        </w:rPr>
        <w:t>E. 7.2.4</w:t>
      </w:r>
    </w:p>
    <w:p>
      <w:r>
        <w:t>Eu égards aux constats précédents, le Tribunal relève que le médecin du service médical interne de l'OAIE ne s'est pas prononcé sur toutes les atteintes à la santé dont souffre le recourant - en particulier l'hépatopathie virale et le glaucome - et n'a pas expliqué pour quelles raisons il convenait de les écarter. Bien que la valeur probante de certains rapports médicaux est limitée (cf. OAIE pces 4, 14, 34, 37 et 41), ils suffisent à semer un doute sur l'existence éventuelle d'une ou de plusieurs affections invalidantes. Le Tribunal n'est pas en mesure de retenir à la vraisemblance prépondérante que le recourant ne souffre que des diagnostics retenus par le Dr E._______. Le dossier d'instruction présente dès lors des lacunes d'ordre médical.</w:t>
      </w:r>
    </w:p>
    <w:p>
      <w:r>
        <w:rPr>
          <w:b/>
        </w:rPr>
        <w:t>E. 7.3.1</w:t>
      </w:r>
    </w:p>
    <w:p>
      <w:r>
        <w:t>S'agissant des limitations fonctionnelles, le Dr E._______ a expliqué que le recourant doit pouvoir travailler en position assise, avec des pauses de 10 minutes toutes les heures, qu'il doit éviter les activités impliquant la rotation du tronc, de travailler avec les bras au-dessus de la tête, en position penché, accroupi ou à genou, le port de charges supérieures à 5 kg, de se déplacer fréquemment sur des terrains irréguliers, de monter sur une échelle et/ou un échafaudage, de monter des escaliers, qu'il doit éviter l'exposition au froid, à l'humidité et aux intempéries et qui n'impliquent pas de travailler sous stress, avec rapidité dans l'exécution et une grande acuité visuelle (OAIE pce 54 p. 2). Il appert que le Dr D._______, médecin de l'INSS, a retenu que le recourant présentait des limitations fonctionnelles dans les tâches nécessitant des exigences visuelles moyennes à élevées (OAIE pce 3 p. 8). Le Dr G._______ a, quant à lui, noté que les atteintes à la santé du recourant conduisent en somme à un processus invalidant dans l'activité habituelle et que ce dernier présente des séquelles permanentes, sans davantage de précisions (OAIE pce 41). Les Drs B._______ et C._______ n'ont pas décrit les limitations du recourant (OAIE pces 4, 14, 37).</w:t>
      </w:r>
    </w:p>
    <w:p>
      <w:r>
        <w:rPr>
          <w:b/>
        </w:rPr>
        <w:t>E. 7.3.2</w:t>
      </w:r>
    </w:p>
    <w:p>
      <w:r>
        <w:t>Au vu des avis médicaux précités, le Tribunal de céans observe que les limitations fonctionnelles retenues par le médecin du service médical interne de l'OAIE dépassent les limitations retenues par les médecins, ayant examiné le recourant et qui sont des spécialistes dans leur domaine médical respectif. Le Dr E._______, médecin spécialisé en médecine interne générale, n'était pas en mesure de se prononcer de manière plus étendue sur les limitations fonctionnelles du recourant que ses confrères spécialistes. Le Tribunal de céans ne peut dès lors confirmer les limitations fonctionnelles retenues par le médecin du service médical interne de l'OAIE.</w:t>
      </w:r>
    </w:p>
    <w:p>
      <w:r>
        <w:rPr>
          <w:b/>
        </w:rPr>
        <w:t>E. 7.4.1</w:t>
      </w:r>
    </w:p>
    <w:p>
      <w:r>
        <w:t>S'agissant de l'incapacité de travail, le Dr E._______ a conclu que le recourant n'est plus en mesure d'exercer son activité habituelle de nettoyeur de bâtiments dès le 14 février 2017 (OAIE pce 54). Le Dr. G._______ est aussi de cet avis, sans préciser la date du début de l'incapacité de travail (OAIE pce 41). Quant au Dr D._______, il ne se prononce pas sur l'exercice de l'activité habituelle, mais relève que le recourant peut exercer une activité adaptée à temps plein (OAIE pce 3 p. 10). Les Drs B._______ et C._______ ne se prononcent pas sur la capacité de travail de l'assuré dans son activité habituelle. Le Dr E._______ estime que le recourant présente cependant une capacité de travail résiduelle de 70% dans une activité adaptée aux limitations retenues et ce, depuis le 14 février 2017 (OAIE pce 54). Cet avis est plus avantageux que celui du Dr D._______ qui a indiqué que le recourant pourrait exercer un travail adapté à temps plein comme susmentionné (OAIE pces 3, 5 et 6). Les Drs G._______, B._______ et C._______ ne se prononcent pas sur la capacité de travail résiduelle de l'assuré dans une activité adaptée (OAIE pces 4, 14, 37, 41).</w:t>
      </w:r>
    </w:p>
    <w:p>
      <w:r>
        <w:rPr>
          <w:b/>
        </w:rPr>
        <w:t>E. 7.4.2</w:t>
      </w:r>
    </w:p>
    <w:p>
      <w:r>
        <w:t>Au vu de ce qui précède, le Tribunal de céans remarque que le médecin du service médical interne de l'OAIE, spécialisé en médecine interne générale, n'a pas les connaissances suffisantes pour se prononcer sur l'incapacité de travail du recourant. Il n'est en outre pas en mesure d'évaluer et ainsi de déterminer l'incapacité de travail du recourant sur la base des rapports médicaux présents au dossier. À l'exception du Dr G._______, notons que les médecins spécialistes susmentionnés ne se sont pas prononcés sur ce point. Le Dr E._______ n'était dès lors pas non plus en mesure de se prononcer sur la capacité résiduelle du recourant.</w:t>
      </w:r>
    </w:p>
    <w:p>
      <w:r>
        <w:rPr>
          <w:b/>
        </w:rPr>
        <w:t>E. 8.1</w:t>
      </w:r>
    </w:p>
    <w:p>
      <w:r>
        <w:t>En conclusion, l'OAIE ne pouvait rendre une décision en s'appuyant exclusivement sur la prise de position du Dr E._______, médecin du service médical interne de l'OAIE, établie sans examen personnel du recourant, sur la base des rapports et certificats médicaux évoqués précédemment, lesquels sont incomplets et fondent un doute quant aux atteintes à la santé du recourant. Le Dr E._______ n'aborde, ni ne prend en considération notamment les diagnostics de l'hépatopathie virale et le glaucome retenus par les médecins qui ont examiné le recourant.</w:t>
      </w:r>
    </w:p>
    <w:p>
      <w:r>
        <w:rPr>
          <w:b/>
        </w:rPr>
        <w:t>E. 8.2</w:t>
      </w:r>
    </w:p>
    <w:p>
      <w:r>
        <w:t>Partant, pour les raisons évoquées précédemment, de forts doutes subsistent quant à la pertinence de la prise de position du Dr E._______, dont la valeur probante est de surcroît limitée, le médecin du service médical interne de l'OAIE en question ne disposant pas de connaissances spécifiques en matière de rhumatologie, d'endocrinologie, d'ophtalmologique et d'hépatologie, pourtant indispensables au regard de la complexité du cas d'espèce. Par conséquent, l'état de santé réel du recourant n'est pas établi.</w:t>
      </w:r>
    </w:p>
    <w:p>
      <w:r>
        <w:rPr>
          <w:b/>
        </w:rPr>
        <w:t>E. 8.3</w:t>
      </w:r>
    </w:p>
    <w:p>
      <w:r>
        <w:t>Compte tenu des lacunes relevées et des divers diagnostics posés par des spécialistes, à l'issue d'un examen sur la personne de l'assuré, l'examen du présent cas d'espèce ne se résume pas à l'appréciation d'un état de fait médical non contesté et établi de manière concordante par les médecins, bien au contraire. Dans ces circonstances, l'OAIE ne pouvait pas statuer sur la seule base des prises de position établies sur dossier par son service médical interne. Compte tenu des doutes planant sur l'état de santé du recourant, ainsi que sur l'incidence des diagnostics retenus sur la capacité de travail et les limitations fonctionnelles de celui-ci, une instruction complémentaire du dossier aurait dû être requise (ATF 135 V 465 consid. 4.6). Il y a par conséquent lieu d'annuler la décision entreprise et de renvoyer le dossier à l'autorité inférieure en application de l'art. 61 al. 1 PA afin qu'elle complète son instruction en ordonnant la mise en oeuvre d'une expertise pluridisciplinaire dans les disciplines de la rhumatologie, l'endocrinologie, l'ophtalmologie et l'hépatologie auprès d'experts indépendants (art. 44 LPGA), dans le respect des droits de participation de l'assuré (ATF 137 V 210 consid. 3.4.2.9) et de l'art. 72bis RAI (ATF 139 V 349 consid. 5.2.1). Les experts seront invités à se prononcer de façon précise et appropriée sur l'état de santé ainsi que sur l'incidence de l'ensemble des affections diagnostiquées sur la capacité de travail du recourant dans sa précédente profession de nettoyeur de bâtiment et dans des activités lucratives adaptées à son état de santé, ainsi que sur les limitations fonctionnelles entravant sa capacité de travail. Ils procèderont à cette évaluation en considération de l'état de santé présenté par le recourant et son évolution jusqu'au jour de l'expertise (arrêt du TAF C-2039/2017 du 6 mars 2019 consid. 10.4). Si d'autres évaluations que celles initialement retenues dans les domaines précités se révèlent nécessaires, ils en ordonneront la mise en oeuvre, attendu qu'il est en dernier ressort de leur devoir d'expert de déterminer la nature des évaluations médicales permettant de répondre au questionnaire qui leur est soumis dans le cas d'espèce (arrêt du TF 8C_124/2008 du 17 octobre 2008 consid. 6.3.1). Cette nouvelle expertise sera effectuée en Suisse, l'organisme mandaté devant maîtriser les principes d'évaluation prévalant dans la médecine d'assurance suisse (arrêt du TF 9C_235/2013 du 10 septembre 2013 consid. 3). Le recourant étant domicilié en Espagne, l'on ne voit pas, de surcroît, les motifs pour lesquels l'exécution en Suisse de cette expertise pourrait se révéler une mesure disproportionnée. Bien que le renvoi doive rester exceptionnel compte tenu de l'exigence de célérité de la procédure (art. 29 de la Constitution fédérale [Cst., RS 101]), il est en l'occurrence justifié dès lors que l'autorité inférieure n'a pas instruit les questions déterminantes pour l'examen du droit aux prestations, l'instruction de l'affaire sur le plan médical étant incomplète (ATF 137 V 210 consid. 4.4.1.4 ; arrêt du TF 8C_633/2014 du 11 décembre 2014 consid. 3.2).</w:t>
      </w:r>
    </w:p>
    <w:p>
      <w:r>
        <w:rPr>
          <w:b/>
        </w:rPr>
        <w:t>E. 8.4</w:t>
      </w:r>
    </w:p>
    <w:p>
      <w:r>
        <w:t>Au vu de ce qui précède, le recours se révèle bien fondé.</w:t>
      </w:r>
    </w:p>
    <w:p>
      <w:r>
        <w:rPr>
          <w:b/>
        </w:rPr>
        <w:t>E. 9.1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9.2</w:t>
      </w:r>
    </w:p>
    <w:p>
      <w:r>
        <w:t>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810.- (TAF pces 2 et 3) lui sera restituée dès l'entrée en force du présent arrêt.</w:t>
      </w:r>
    </w:p>
    <w:p>
      <w:r>
        <w:rPr>
          <w:b/>
        </w:rPr>
        <w:t>E. 9.3</w:t>
      </w:r>
    </w:p>
    <w:p>
      <w:r>
        <w:t>Il n'est pas alloué de dépens. En effet, bien que le recourant ait obtenu gain de cause (cf. consid. 8.4 supra), il a agi sans représentation professionnelle et n'a pas dû supporter de frais élevés (art. 64 al. 1 PA et art. 7 ss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