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C-6327/2018 vom 20. Februar 2020</w:t>
      </w:r>
    </w:p>
    <w:p>
      <w:r>
        <w:t>Bundesverwaltungsgericht, 2020-02-20, IT</w:t>
      </w:r>
    </w:p>
    <w:p>
      <w:r>
        <w:rPr>
          <w:b/>
        </w:rPr>
        <w:t xml:space="preserve">Quelle: </w:t>
      </w:r>
      <w:r>
        <w:t>https://mcp.opencaselaw.ch/entscheid/bvger_C-6327_2018</w:t>
      </w:r>
    </w:p>
    <w:p>
      <w:r>
        <w:t>FR: TAF C-6327/2018 du 20 février 2020</w:t>
      </w:r>
    </w:p>
    <w:p>
      <w:r>
        <w:t>IT: TAF C-6327/2018 del 20 febbraio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Se è intervenuto un cambiamento delle norme legislative nel corso del periodo sottoposto ad esame giudiziario, il diritto eventuale alle prestazioni si determina secondo le vecchie disposizioni per il periodo anteriore e secondo le nuove a partire dalla data della loro entrata in vigore (applicazione pro rata temporis; DTF 130 V 445)</w:t>
      </w:r>
    </w:p>
    <w:p>
      <w:r>
        <w:rPr>
          <w:b/>
        </w:rPr>
        <w:t>E. 3.2</w:t>
      </w:r>
    </w:p>
    <w:p>
      <w:r>
        <w:t>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Per valutare questo aspetto occorre confrontare la situazione al momento della nuova decisione (in concreto al 24 settembre 2018) con quella esistente al momento dell'ultima decisione cresciuta in giudicato (nel caso concreto al 29 novembre 2011 [confermata dal TAF con sentenza C-449/2012 del 25 aprile 2013]) che è stata oggetto di un esame materiale del diritto alla rendita dopo contestuale accertamento pertinente dei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(sentenza del TF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(sentenza del TF 9C_667/2010 del 28 aprile 2011 consid. 2.1 e 2.2 nonché relativi riferimenti).</w:t>
      </w:r>
    </w:p>
    <w:p>
      <w:r>
        <w:rPr>
          <w:b/>
        </w:rPr>
        <w:t>E. 5</w:t>
      </w:r>
    </w:p>
    <w:p>
      <w:r>
        <w:t>Nel caso di specie, si pone la questione di sapere se sia stato reso plausibile, o meno, nell'ambito della seconda domanda di rendita presentata dalla ricorrente il 16 novembre 2017, un cambiamento del suo stato di salute - intervenuto tra il 29 novembre 2011 e il 24 settembre 2018 - suscettibile di avere delle ripercussioni sul suo grado d'invalidità. Per le ragioni che saranno indicate di seguito, tale è il caso nella presente fattispecie. In effetti, e per quanto emerge dalle carte processuali a distanza di circa 7 anni dall'effettuazione della perizia pluridisciplinare del 23 agosto 2011, l'insorgente ha reso plausibile, con la produzione di numerosa documentazione medica, la sopravvenienza di ulteriori patologie rispettivamente il peggioramento di alcune già esistenti, che rendono necessario un nuovo esame nel merito della fattispecie. Giova ancora osservare che nel caso concreto già nel 2011, vista la complessità della situazione dal profilo medico, si era resa necessaria l'effettuazione di una perizia pluridisciplinare, alfine di ben comprendere e valutare anche le interazioni tra le differenti patologie di cui soffre la ricorrente, patologie che avevano già allora giustificato un'incapacità lavorativa del 30% in qualsiasi attività (anche nell'esercizio delle mansioni di casalinga). A distanza appunto di circa 7 anni da tale perizia pluridisciplinare ed in presenza di chiari indizi di un cambiamento significativo dello stato di salute dell'insorgente, non erano date le condizioni per una liquidazione del caso in esame con una decisione di non entrata nel merito basata sulla generica valutazione che non sarebbe intervenuto nel periodo determinante, e precedentemente indicato - alcun peggioramento significativo delle patologie già note (cfr. rapporto SMR del 6 luglio 2018 [doc. 232] e dell'11 marzo 2019 (allegato del doc. TAF 9). Tale conclusione si fonda altresì principalmente sulle conclusioni, invero generiche e contradditorie, della perizia particolareggiata E 213 del 12 febbraio 2018 (doc. 183), nonché su lacune nell'esame dell'insieme della documentazione medica pertinente prodotta dalla ricorrente stessa nell'ambito della sua seconda domanda di rendita qui in esame.</w:t>
      </w:r>
    </w:p>
    <w:p>
      <w:r>
        <w:rPr>
          <w:b/>
        </w:rPr>
        <w:t>E. 5.1</w:t>
      </w:r>
    </w:p>
    <w:p>
      <w:r>
        <w:t>Questo Tribunale rileva, in particolare, che dalla documentazione medica raccolta nel corso della prima domanda di rendita, e sfociata nella decisione del 29 novembre 2011 (confermata dal TAF con sentenza C-449/2012 del 25 aprile 2013) risultano, in virtù segnatamente della perizia particolareggiata E213 del 9 agosto 2010 (doc. 123), della perizia pluridisciplinare del SAM del 23 agosto 2011 (doc. 145) e della presa di posizione della dott.ssa C._______, medico dell'UAIE del 30 agosto 2011 (doc. 147), le seguenti diagnosi con incidenza sulla capacità lavorativa: alterazioni degenerative del rachide cervicale (bulging discale C5/6 e ernia discale C6/7), sindrome mista ansioso-depressiva e ansia episodica parossistica. Sono per contro state valutate senza incidenza sulla capacità lavorativa: l'ipertensione arteriosa, la lieve sindrome del tunnel carpale bilaterale, i dolori diffusi al cingolo scapolare e agli altri arti non spiegati da patologia neurologica, la sindrome algica generalizzata aspecifica, il decondizionamento muscolare, i piedi cavi bilaterali con alluce valgo prevalentemente a sinistra e dita a martello dalle due parti, i disturbi statici del rachide (ipercifosi della dorsale alta con ampia scoliosi sinistroconvessa toracolombare) e l'obesità (100 kg per una statura di 162 centimetri).</w:t>
      </w:r>
    </w:p>
    <w:p>
      <w:r>
        <w:rPr>
          <w:b/>
        </w:rPr>
        <w:t>E. 5.2.1</w:t>
      </w:r>
    </w:p>
    <w:p>
      <w:r>
        <w:t>Nell'ambito della nuova domanda di rendita, nella perizia particolareggiata E 213 del 12 febbraio 2018, sono state poste le diagnosi di: sindrome ansioso-depressiva cronica in trattamento in soggetto con sindrome fibromialgica, cardiopatia ipertensiva, artrosi delle mani e dei piedi in obesità media, tireopatia nodulare e malattia del sistema osteomuscolare e del tessuto connettivo (doc. 183). Alla lettura di detta perizia E213, si nota d'acchito che la sindrome ansioso depressiva appare essersi cronicizzata e che sono, fra l'altro, subentrate una sindrome fibromialgica e una tireopatia nodulare. Sempre nella citata e più recente perizia E213, è altresì indicato, senza alcuna precisazione al riguardo, che rispetto alla precedente visita le condizioni di salute della ricorrente sono migliorate (pag. 7 della perizia) e che può svolgere a tempo pieno sia la sua precedente attività che ogni altra sostitutiva adeguata (pag. 9 della perizia). Tuttavia è pure indicato, sempre a pagina 9 della citata perizia E213, che conformemente alle disposizioni di legge del Paese di residenza (l'Italia), l'invalidità per l'ultimo lavoro svolto è del 67% allorquando era del 60% nella perizia E 213 del 9 agosto 2010 (pag. 9), con conseguente, evidente, peggioramento dell'incapacità lavorativa del 7% rispetto alla precedente valutazione. Solo quest'ultima valutazione - ossia di plausibile peggioramento delle condizioni di salute della ricorrente intervenuta nel frattempo e anche di plausibile accresciuta incidenza sulla residua capacità lavorativa - è compatibile con le risultanze della restante documentazione medica prodotta dalla ricorrente.</w:t>
      </w:r>
    </w:p>
    <w:p>
      <w:r>
        <w:rPr>
          <w:b/>
        </w:rPr>
        <w:t>E. 5.2.2</w:t>
      </w:r>
    </w:p>
    <w:p>
      <w:r>
        <w:t>Con rapporti medici del 13 ottobre e 22 dicembre 2017 (doc. 195 e 201), la dott.ssa D._______, specialista in reumatologia, ha indicato che la paziente è tornata a farsi visitare dopo dodici mesi per una riacutizzazione della sintomatologia algica articolare diffusa e mialgie con crampi muscolari agli arti inferiori e parestesie diffuse. All'esame obiettivo, la specialista ha riscontrato 18 su 18 punti fibromialgici ("trigger points"), ponendo la diagnosi di sindrome fibromialgica in sindrome depressiva, ernie discali cervicali e radicolopatia cervicale C5-C6-C7 ed obesità ed indicando una importante terapia farmacologica. Nella perizia pluridisciplinare del 23 agosto 2011, effettuato nell'ambito della prima domanda di rendita, era stata esclusa la diagnosi di fibromialgia, il perito reumatologo avendo rilevato la presenza di "soli" 15 su 18 punti fibromialgici e ritenuto esclusivamente una sintomatologia algica generalizzata aspecifica senza incidenza sulla residua capacita lavorativa (doc. 145, pag. 49 e 50). Ora, anche in considerazione del fatto che le problematiche d'ordine psichiatrico non appaiono essersi risolte/migliorate rispetto al 2011, ma piuttosto essersi cronicizzate nonostante le terapie cui la ricorrente si è sottoposta (cfr. rapporti specialisti del centro di salute mentale di (...) rispettivamente di (...) del 28 ottobre 2017 e del 29 gennaio 2018 [doc. 196 e 219]), la nuova diagnosi di fibromialgia, peraltro in trattamento con importante terapia medicamentosa, impone a non averne dubbio, e già di per sé, un approfondimento degli accertamenti medici, con esame secondo la procedura strutturata per indicatori (DTF 143 V 281), che consenta di determinare con la necessaria precisione anche le eventuali interazioni tra le diverse affezioni di cui soffre la ricorrente dal profilo reumatologico e psichiatrico e la conseguente incidenza sulla residua capacità lavorativa. Già per questo motivo, s'impone pertanto l'annullamento della decisione impugnata di non entrata nel merito della seconda domanda di rendita depositata dalla ricorrente nel novembre del 2017, e ciò indipendentemente dal fatto che secondo la specialista dott. D._______ l'insorgente avrebbe indicato di avere tratto beneficio dalla terapia medicamentosa prescritta. Peraltro, nemmeno risulta che il SMR abbia tenuto conto nella sua valutazione, tanto meno debitamente e con motivazione intelligibile, dei rapporti medici della dott.ssa D._______.</w:t>
      </w:r>
    </w:p>
    <w:p>
      <w:r>
        <w:rPr>
          <w:b/>
        </w:rPr>
        <w:t>E. 5.2.3</w:t>
      </w:r>
    </w:p>
    <w:p>
      <w:r>
        <w:t>Inoltre, nel suo rapporto del 12 settembre 2018, il dott. E._______, specialista in ortopedia e traumatologia, ha ritenuto - dopo avere preso visione anche delle radiografie eseguite dal dott. F._______ il 6 settembre 2018 - le seguenti diagnosi: spondilodiscoartrosi lombare con scoliosi lombare sinistro-convessa, accentuazione della lordosi lombare e discopatia L5-S1 con frequenti episodi di blocco vertebrale lombare, peggiorate dall'obesità, gonartrosi bilaterale con riduzione dell'emirima articolare mediale, ridotta autonomia di marcia, coxartrosi bilaterale con sclerosi subcondale e calcificazioni in regione periarticolare a destra (doc. TAF 1). Va pertanto rilevato che anche da questo profilo - rispetto alla situazione esistente nel 2011 - appaiono essere sopravvenute delle nuove problematiche, suscettibili di incidere sulla residua capacità lavorativa, che non riguardano solo il rachide cervicale (in C5-C6 e C6/C7; v. perizia pluridisciplinare del 23 agosto 2011, segnatamente pag. 27 e 49). Certo, il fatto che dai menzionati documenti medici emergano delle nuove diagnosi non significa necessariamente che esse abbiano, con probabilità preponderante, un'incidenza sulla residua capacità lavorativa rispettivamente il grado d'invalidità dell'insorgente. Sennonché, esse appaiono comunque sufficienti, nel caso in esame e conto tenuto della particolare complessità dell'insieme del quadro patologico a carico della ricorrente, per rendere plausibile una modifica della situazione medica suscettibile di poter influire sulla residua capacità lavorativa e dunque anche sul grado d'invalidità. In quest'ottica, è pertanto irrilevante il fatto che tali modifiche possano apparire - a prima vista e di per sé (dunque facendo astrazione delle interazioni con le altre patologie) - non particolarmente importanti.</w:t>
      </w:r>
    </w:p>
    <w:p>
      <w:r>
        <w:rPr>
          <w:b/>
        </w:rPr>
        <w:t>E. 5.2.4</w:t>
      </w:r>
    </w:p>
    <w:p>
      <w:r>
        <w:t>Infine, va rilevato, sempre per sovrabbondanza, che la tireopatia di cui soffre l'insorgente appare in evoluzione. Con ecografia del 26 marzo 2015, la dott.ssa G._______, radiologa, aveva concluso che i rilievi ecografici erano sovrapponibili con i precedenti del 2012, con tiroide in sede nei limiti volumetrici e plurime piccole formazioni nodulari bilaterali (doc. 210). Con referto di visita endocrino-metabolica del 2 settembre 2015 il dott. H._______, specialista in endocrinologia e malattie del ricambio e specialista in patologia generale, ha posto come orientamento diagnostico una tireopatia multinodulare con FT3 basso da verosimile causa non tiroidea (doc. 198). Il 18 gennaio 2016, il dott. I._______, radiologo, ha attestato una tiroide di regolare morfovolumetria ma dall'ecostruttura disomogenea e che rispetto al precedente esame ecografico del 2014, i noduli hanno modificato l'ecostruttura con riduzione della componente fluido-colloidale a favore della componente solida (doc. 209). Dal referto del 16 marzo 2018 della dott.ssa L._______, radiologa, risulta una tiroide in sede e regolare per dimensioni, con ecostruttura modicamente disomogenea per la presenza di alcune formazioni nodulari ipoecogene in entrambi i lobi. Nel referto risulta pure che in sede sottomandibolare e laterocervicale bilateralmente è evidente qualche linfonodo ovalare, di tipo reattivo (doc. 226). Pertanto, tenuto pure conto delle ulteriori affezioni di cui soffre l'insorgente precedentemente evidenziate, appare necessario anche da questo profilo un appropriato approfondimento nel merito della nuova domanda di rendita inoltrata dalla ricorrente nel novembre del 2017.</w:t>
      </w:r>
    </w:p>
    <w:p>
      <w:r>
        <w:rPr>
          <w:b/>
        </w:rPr>
        <w:t>E. 6</w:t>
      </w:r>
    </w:p>
    <w:p>
      <w:r>
        <w:t>Da quanto esposto, discende che la decisione impugnata - che viola il diritto federale, dal momento che contrariamente a quanto ritenuto nella stessa, i presupposti di cui all'art. 87 cpv. 3 OAI per dovere entrare nel merito della seconda domanda di rendita inoltrata il 16 novembre 2017 sono adempiti - incorre nell'annullamento. Gli atti di causa sono pertanto rinviati all'autorità inferiore perché essa entri nel merito della citata seconda domanda di rendita della ricorrente, proceda alla necessaria istruttoria (una nuova perizia pluridisciplinare in Svizzera appare lo strumento d'accertamento più idoneo, fermo restando la verifica dello statuto della ricorrente rispettivamente l'effettuazione di un'eventuale inchiesta domiciliare o misura d'accertamento alternativa per persona domiciliata/residente all'estero [cfr., sulla questione, la sentenza del TAF C-4008/2015 del 18 dicembre 2017 consid. 11 con rinvii {segnatamente alla sentenza del TF I 733/06 del 16 luglio 2007}]), ed emani una nuova decisione, appunto di merito, concernente il grado d'invalidità della ricorrente.</w:t>
      </w:r>
    </w:p>
    <w:p>
      <w:r>
        <w:rPr>
          <w:b/>
        </w:rPr>
        <w:t>E. 7.1</w:t>
      </w:r>
    </w:p>
    <w:p>
      <w:r>
        <w:t>Visto l'esito del ricorso, non sono prelevate spese processuali. Alla ricorrente sarà restituito l'anticipo sulle presumibili spese processuali di CHF 800.-, corrisposto con versamenti del 31 dicembre 2018 e del 12 febbraio 2019 (doc. TAF 2 a 7), una volta cresciuta in giudicato la presente sentenza.</w:t>
      </w:r>
    </w:p>
    <w:p>
      <w:r>
        <w:rPr>
          <w:b/>
        </w:rPr>
        <w:t>E. 7.2</w:t>
      </w:r>
    </w:p>
    <w:p>
      <w:r>
        <w:t>Ritenuto che l'insorgente è rappresentata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2'000.- tenuto conto del lavoro utile e necessario - relativamente contenuto, ma in causa con incarto abbastanza voluminoso -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