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C-6323/2011 vom 22. Oktober 2013</w:t>
      </w:r>
    </w:p>
    <w:p>
      <w:r>
        <w:t>Bundesverwaltungsgericht, 2013-10-22, DE</w:t>
      </w:r>
    </w:p>
    <w:p>
      <w:r>
        <w:rPr>
          <w:b/>
        </w:rPr>
        <w:t xml:space="preserve">Quelle: </w:t>
      </w:r>
      <w:r>
        <w:t>https://mcp.opencaselaw.ch/entscheid/bvger_C-6323_2011</w:t>
      </w:r>
    </w:p>
    <w:p>
      <w:r>
        <w:t>FR: TAF C-6323/2011 du 22 octobre 2013</w:t>
      </w:r>
    </w:p>
    <w:p>
      <w:r>
        <w:t>IT: TAF C-6323/2011 del 22 ottobre 2013</w:t>
      </w:r>
    </w:p>
    <w:p>
      <w:pPr>
        <w:pStyle w:val="Heading2"/>
      </w:pPr>
      <w:r>
        <w:t>Regeste</w:t>
      </w:r>
    </w:p>
    <w:p>
      <w:r>
        <w:t>Einreiseverbot</w:t>
      </w:r>
    </w:p>
    <w:p>
      <w:pPr>
        <w:pStyle w:val="Heading2"/>
      </w:pPr>
      <w:r>
        <w:t>Erwägungen</w:t>
      </w:r>
    </w:p>
    <w:p>
      <w:r>
        <w:rPr>
          <w:b/>
        </w:rPr>
        <w:t>E. 1</w:t>
      </w:r>
    </w:p>
    <w:p>
      <w:r>
        <w:t>1.1 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w:t>
      </w:r>
    </w:p>
    <w:p>
      <w:r>
        <w:rPr>
          <w:b/>
        </w:rPr>
        <w:t>E. 3</w:t>
      </w:r>
    </w:p>
    <w:p>
      <w:r>
        <w:t>3.1 Auf Beschwerdeebene wird vom Parteivertreter unter anderem der Beizug der Akten der Tochter des Beschwerdeführers bei der Vormundschaftsbehörde Basel-Stadt, der Strafverfahrensakten des Kreisgerichts II Biel-Nidau, der Akten der Abteilung Straf- und Massnahmenvollzug, der Trennungsakten des Zivilgerichts Basel-Stadt sowie amtlicher Erkundigungen bei der Vormundschaftsbehörde Basel-Stadt und der Abteilung Straf- und Massnahmenvollzug beantragt. Der Behörde kommt grundsätzlich die Pflicht zu, den rechtserheblichen Sachverhalt von Amtes wegen zu ermitteln (Art. 12 VwVG). Im Rahmen der Sachverhaltsermittlung ist sie hierbei gehalten,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f. mit Hinweisen).</w:t>
      </w:r>
    </w:p>
    <w:p>
      <w:r>
        <w:rPr>
          <w:b/>
        </w:rPr>
        <w:t>E. 3.2</w:t>
      </w:r>
    </w:p>
    <w:p>
      <w:r>
        <w:t>Der entscheidswesentliche Sachverhalt erschliesst sich vorliegend - unter besonderer Betonung des Anfechtungsgegenstandes, nämlich der Fernhaltemassnahme - in hinreichender Weise aus den Akten. So liess der Rechtsvertreter dem Bundesverwaltungsgericht die wichtigsten diesbezüglichen Unterlagen (insbesondere das Urteil des Kreisgerichts II Biel-Nidau vom 13. Januar 2006 und das Urteil des Strafgerichts Basel-Stadt vom 14. Juli 2005) bereits mit der Beschwerdeschrift vom 21. November 2011 zukommen. Entscheidwesentliche Akten der Vormundschaftsbehörde Basel-Stadt und der Abteilung Straf- und Massnahmenvollzug konnten den kantonalen Akten entnommen werden. Darüber hinausgehend kann von der beantragten Vorkehr in antizipierter Beweiswürdigung ohne Verletzung des rechtlichen Gehörs abgesehen werden (BGE 136 I 229 E. 5.3 S. 236 f. mit Hinweisen).</w:t>
      </w:r>
    </w:p>
    <w:p>
      <w:r>
        <w:rPr>
          <w:b/>
        </w:rPr>
        <w:t>E. 4.1</w:t>
      </w:r>
    </w:p>
    <w:p>
      <w:r>
        <w:t>Gemäss der im vorliegenden Fall anwendbaren Richtlinie 2008/115/EG vom 16. Dezember 2008 über gemeinsame Normen und Verfahren in den Mitgliedstaaten zur Rückführung illegal aufhältiger Dritt-staatsangehöriger (Rückführungsrichtlinie, RFRL, ABl. L 348 vom 24. De-zember 2008, S. 98-107; vgl. zur Geltung und Anwendbarkeit der RFRL in der Schweiz das Urteil des Bundesverwaltungsgerichts C-891/2012 vom 16. April 2013 E. 5.1 mit Hinweisen) geht bei illegal anwesenden Dritt-staatsangehörigen eine Wegweisung, die sofort vollstreckt wird oder bei der die betroffene Person nicht fristgerecht ausgereist ist, in der Regel mit einem schengenweiten Einreiseverbot einher (vgl. Erwägungsgrund 14 RFRL sowie Art. 3 Ziff. 6 i.V.m. Art. 11 Abs. 1 RFRL). Davon kann nur in rechtfertigungsbedürftigen Ausnahmefällen abgesehen werden (vgl. Art. 11 Abs. 3 RFRL). Zur Umsetzung dieser Verpflichtung ist die betroffene Person im Schengener Informationssystem (SIS) zur Einreiseverwei-gerung auszuschreiben (vgl. die Art. 21 und Art. 24 der Verordnung [EG] Nr. 1987/2006 vom 20. Dezember 2006 über die Einrichtung, den Betrieb und die Nutzung des Schengener Informationssystems der zweiten Ge-neration [SIS II], ABl. L 381 vom 28. Dezember 2006, S. 4-23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10-11 i.V.m. Art. 52 Abs. 1 SIS-II-VO]). Damit wird dem Betroffenen die Einreise in das Hoheitsgebiet der Schengen-Mitgliedstaaten verboten (vgl. Art. 5 Abs. 1 Bst. d sowie Art. 13 Abs. 1 Schengener Grenzkodex [SGK, Abl. L 105 vom 13. April 2006, S. 1-32]). Die Mitgliedstaaten können dem Betroffenen aus wichtigen Gründen oder aufgrund internationaler Verpflichtungen die Einreise in das eigene Hoheitsgebiet gestatten bzw. ein Schengen-Visum mit räumlich beschränkter Gültigkeit ausstellen (vgl. Art. 13 Abs. 1 i.V.m. Art. 5 Abs. 4 Bst. c SGK; Art. 25 Abs. 1 Bst. a [ii] Visakodex, Abl. L 243 vom 15. Sep-tember 2009; Art. 11 Abs. 3 RFRL).</w:t>
      </w:r>
    </w:p>
    <w:p>
      <w:r>
        <w:rPr>
          <w:b/>
        </w:rPr>
        <w:t>E. 4.2</w:t>
      </w:r>
    </w:p>
    <w:p>
      <w:r>
        <w:t>Der Beschwerdeführer ist nicht Bürger eines Mitgliedstaates der Eu-ropäischen Union. Aufgrund der Ausschreibung im SIS ist ihm untersagt, den Schengen-Raum zu betreten. Dieser Eingriff wird durch die Bedeutung des Falls gerechtfertigt (vgl. Art. 21 i.V.m. Art. 24 Abs. 2 f. SIS-II-VO). Zum Einen ist aufgrund der begangenen Delikte von einer erheblichen Gefährdung der öffentlichen Sicherheit und Ordnung auszugehen (s. hinten, E. 6.2). Zum Anderen hat die Schweiz die Interessen der Gesamtheit aller Schengen-Staaten zu wahren (vgl. BVGE 2011/48 E. 6.1) und war wegen der vollzogenen Wegweisung des Beschwerdeführers, der die Einreisevoraussetzungen nicht mehr erfüllte, zum Erlass eines schengenweiten Einreiseverbots verpflichtet (vgl. Art. 3 Ziff. 6 i.V.m. Art. 11 und Erwägungsgrund 29 RFRL; Art. 5 Abs. 1 Bst. e SGK; Art. 5 Abs. 1 Bst. c AuG; Art. 9 Abs. 2 VZAE; ein Ausnahmefall liegt nicht vor, s. anschliessend, E. 4 und 5).</w:t>
      </w:r>
    </w:p>
    <w:p>
      <w:r>
        <w:rPr>
          <w:b/>
        </w:rPr>
        <w:t>E. 4.3</w:t>
      </w:r>
    </w:p>
    <w:p>
      <w:r>
        <w:t>Die Voraussetzungen für die Ausschreibung im SIS sind somit erfüllt. 5.5.1 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5.2 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 5.3 Das Kreisgericht II Biel - Nidau verurteilte den Beschwerdeführer mit Urteil vom 13. Januar 2006 wegen vorsätzlicher Tötung zu 10 Jahren Zuchthaus, unter Anordnung einer vollzugsbegleitenden, ambulanten psychotherapeutischen Massnahme. Die Voraussetzungen für ein Einreiseverbot gemäss Art. 67 Abs. 2 Bst. a AuG sind - entgegen der Ansicht des Beschwerdeführers - zweifelsohne erfüllt. 5.4 Hinzu kommt, dass das Strafgericht Basel-Stadt den Beschwerdeführer mit Urteil vom 14. Juli 2005 wegen mehrfachen Diebstahls und mehrfachen Betrugs mit 12 Monaten Gefängnis bedingt verurteilte, unter Auferlegung einer Probezeit von zwei Jahren, weshalb er auch diesbezüglich Gründe für die Verhängung einer Fernhaltemassnahme gesetzt hat (vgl. Art. 67 Abs. 2 Bst. a AuG). Bei massgeblichem Sachverhalt zum Zeitpunkt der Urteilsfällung (vgl. E. 2 in fine) ist diese Ergänzung zur vor-instanzlichen Begründung im Sinne einer Motivsubstitution durchaus möglich und zulässig (vgl. Bst. B. sowie Urteil des Bundesverwaltungsgerichts C-4425/2011 vom 18. Januar 2013 E. 8). 5.5 Überdies musste der Beschwerdeführer in Ausschaffungshaft genommen werden, weshalb er auch diesbezüglich Gründe für die Verhängung einer Fernhaltemassnahme gesetzt hat (vgl. Art. 67 Abs. 1 Bst. b AuG und Art. 67 Abs. 2 Bst. c AuG). Wobei zur Motivsubstitution das eben Ausgeführte gilt. 6.6.1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 6.2 Alleine aufgrund der Verurteilung zu 10 Jahren Zuchthaus ist das öffentliche Interesse im vorliegenden Fall als erheblich zu erachten. Das Fehlverhalten des Beschwerdeführers wiegt aus präventivpolizeilicher Sicht äusserst schwer. Unter dem spezifischen Aspekt des Ausländerrechts muss er daher über Jahre hinweg als Risikofaktor für die öffentliche Sicherheit und Ordnung betrachtet werden, was grundsätzlich ein unbefristetes Einreiseverbot bzw. eine Fernhaltemassnahme von über fünf Jahren rechtfertigt (vgl. Art. 67 Abs. 3 in fine AuG). Kommt hinzu, dass der Beschwerdeführer durch das Delikt gegen das Rechtsgut Leben (vorsätzliche Tötung) die öffentliche Ordnung in einem besonders sensiblen Bereich verletzte und dies deshalb einen strengen Massstab rechtfertigt (vgl. BGE 125 II 521 E. 4a S. 527). Zudem kann die Begehung einer Straftat ein Indiz für die Annahme sein, die ausländische Person werde erneut delinquieren, wobei angesichts eines schweren Verstosses gegen die öffentliche Ordnung die Wahrscheinlichkeit einer Wiederholung eher anzunehmen ist als bei leichten Verfehlungen (vgl. C-1599/2010 vom 24. Juni 2011 E. 7.1 mit Hinweisen). Die Voraussetzungen im Sinne der bundesgerichtlichen Rechtsprechung (vgl. Urteil 2C_318/2012 vom 22. Februar 2013 E. 6.3 in fine) sind im Falle des Beschwerdeführers erfüllt (Straftat gegen Leib und Leben, Rückfälligkeit [vgl. Sachverhalt Bst. B.] und Fehlen einer Prognose auf Besserung). Das Tatbestandsmerkmal einer schwerwiegenden Gefahr für die öffentliche Sicherheit und Ordnung gemäss Art. 67 Abs. 3 Satz 2 ist somit gegeben. 6.3 Der Beschwerdeführer bringt in seiner Rechtsmitteleingabe vor, es sei zu berücksichtigen, dass er sich im Verlaufe des Strafvollzuges gut bewährt habe. Im Entlassungsbericht vom 7. Juni 2011 werde ausgeführt, dass er im Verlauf der letzten Jahre ruhiger geworden sei und sein Verhalten disziplinarisch zu keinen Klagen Anlass gegeben habe. Er habe auch in keiner Weise aggressives Verhalten an den Tag gelegt. Der Bericht äussere sich auch dahingehend, dass im Falle des Beschwerdeführers keine Anzeichen bestehen würden, welche vermuten lassen, er werde weitere Verbrechen und Vergehen begehen. 6.4 In seiner Verfügung vom 7. Juni 2011 sprach sich das Amt für Freiheitsentzug und Betreuung der Polizei- und Militärdirektion des Kantons Bern aufgrund des Verhaltes des Beschwerdeführers zwar für eine bedingte Entlassung aus, die ihm am 7. August 2011 unter Auferlegung einer Probezeit von drei Jahren und vier Monaten auch gewährt wurde. Dieser Umstand alleine vermag die Interessenabwägung jedoch nicht erheblich zu beeinflussen. Strafrechtliche und fremdenpolizeiliche Massnahmen verfolgen unterschiedliche Zwecke. Während aus strafrechtlicher Sicht die persönliche Situation des Verurteilten sowie seine Resozialisierungschancen massgebend sind, stehen bei fremdenpolizeilichen Massnahmen der Schutz der öffentlichen Ordnung und die Sicherheit im Vordergrund, was eine umfassende Interessenabwägung erfordert. Daraus ergibt sich ein im Vergleich mit den Straf- und Strafvollzugsbehörden strengerer Beurteilungsmassstab (vgl. BGE 125 II 105 E. 2c S. 110 mit Hinweisen). Der Beschwerdeführer muss sein Wohlverhalten vorerst über eine längere Zeitspanne unter Beweis stellen. Das Verhalten des Beschwerdeführers im Strafvollzug lässt demgegenüber nicht darauf schliessen, es gehe von ihm keine Gefahr mehr für die öffentliche Ordnung und Sicherheit aus. Dies wiederspiegelt auch der Führungsbericht des Regionalgefängnisses Bern, wird darin doch von zwei offenkundig sexuell begründeten Übergriffen auf Mitinsassen gesprochen (Urteil des Kreisgericht II Biel - Nidau vom 13. Januar 2006 S. 41). Überdies wurde die ambulante psychotherapeutische Massnahme nach 85 Einzel- und 34 Gruppensitzungen als erfolglos erklärt und von den Vollzugsbehörden sistiert, weshalb die Legalprognose als ungünstig zu werten sei. Letztlich wurde die bedingte Entlassung auch deshalb gewährt, weil angenommen wurde, eine Vollverbüssung der Strafe vermöchte keine Veränderung des Verhaltens bzw. der Einstellung des Beschwerdeführers herbeizuführen. Insgesamt wurde dem Beschwerdeführer eine sehr geringe Introspektions- und Empathiefähigkeit zugeschrieben. Zwar wurde festgestellt, dass keine Anzeichen bestünden, der Beschwerdeführer würde weitere Verbrechen oder Vergehen begehen (vgl. Verfügung des Amts für Freiheitsentzug und Betreuung vom 7. Juni 2011). Ob der Beschwerdeführer, welcher nach der bedingten Entlassung am 19. Januar 2012 aus der Schweiz ausgeschafft wurde, sich seither an die öffentliche Ordnung gehalten hat, kann indessen offen bleiben. Denn selbst wenn von einem Wohlverhalten auszugehen wäre, würde sich dieser Zeitraum verglichen mit dem bisherigen delinquenten Verhalten als zu kurz erweisen, um davon ausgehen zu können, der Beschwerdeführer werde sich künftig an die geltende Rechtsordnung halten. Hinzu kommt, dass laut Strafurteil die Probezeit bis Ende 2014 andauert. Zudem wiegt das straffällige Verhalten des Beschwerdeführers angesichts des verletzten Rechtsgutes Leben schwer. Die Allgemeinheit hat einen Anspruch darauf, vor Delikten gegen Leib und Leben geschützt zu sein. Vor diesem Hintergrund vermag das geltend gemachte Wohlverhalten des Beschwerdeführers das erhebliche öffentliche Interesse an seiner Fernhaltung nicht entscheidend zu beeinflussen. Aus diesen Gründen erscheint die Anwendung eines strengen Massstabes gerechtfertigt und zum heutigen Zeitpunkt ein öffentliches Interesse an einer unbestimmten Fernhaltemassnahme als erheblich. 6.5 An persönlichen Interessen bringt der Beschwerdeführer vor, in seinem Alter bedeute die fehlende Befristung, dass die Massnahme für den Rest seines Lebens Gültigkeit haben werde, zumal ein Anspruch auf Überprüfung der Massnahme bei Wohlverhalten in der Regel erst etwa zehn Jahre nach Verbüssung der letzten Freiheitsstrafe bestehe. Bedenke man, dass er erst im August 2011 bedingt entlassen worden sei und seine zehnjährige Freiheitsstrafe deshalb frühestens im Jahr 2014 definitiv verbüsst haben werde, könne die Überprüfung der Massnahme erst im Jahr 2024, d.h. erst ab seinem 82 Altersjahr stattfinden. Unter diesen Umständen sei das unbefristete Einreiseverbot unverhältnismässig und verletze sein Recht auf Achtung des Familien- und Privatlebens nach Art. 8 EMRK. 6.6 Das Fehlen eines dauerhaften Aufenthaltsrechts des Beschwerdeführers in der Schweiz steht häufigeren persönlichen Kontakten mit seiner Familie bereits entgegen. Unter diesen Umständen ist nicht ohne weiteres ersichtlich, inwiefern das Einreiseverbot, das in erster Linie eine administrative Erschwernis darstellt, einen rechtfertigungsbedürftigen Eingriff in das von Art. 8 EMRK bzw. Art. 13 Abs. 1 BV geschützte Familienleben darstellen könnte, wie dies der Beschwerdeführer geltend macht. Die Wirkung des Einreiseverbots besteht nicht darin, dass dem Beschwerdeführer während dessen Geltungsdauer Aufenthalte in der Schweiz schlichtweg untersagt wären. Schliesslich bedeutet die fehlende Befristung nicht, dass die Massnahme für den Rest des Lebens Gültigkeit haben soll; ein Anspruch auf Überprüfung der Massnahme bei Wohlverhalten besteht gemäss neuster bundesgerichtlicher Rechtsprechung, wenn sie nicht mehr durch ein hinreichendes öffentliches Sicherheitsinteresse gedeckt ist (vgl. in diesem Sinne Urteil des Bundesgerichts 2C_487/2012 vom 2. April 2013 E. 4.5.3). Eine zuverlässige Prognose, wie lange ein relevantes öffentliches Sicherheitsbedürfnis anzunehmen ist, lässt sich in casu zum jetzigen Zeitpunkt nicht abgeben. Es ist vom Beschwerdeführer zu verlangen, sich vorerst weiterhin während geraumer Zeit im Ausland zu bewähren. Ausserdem gilt das Einreiseverbot nicht absolut. Dem Beschwerdeführer steht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C-3304/2009 vom 18. Januar 2012 E. 7.2 in fine mit Hinweis). Dabei wird sich der Beschwerdeführer bewusst sein müssen, dass die Fürsorgerische Freiheitsentziehung (FFE) sowie die Fremdplatzierung seiner behinderten Tochter wesentlich auf seinem Verhalten beruhen (vgl. Bericht der Vormundschaftsbehörde BS vom 28. November 2011). Weil ein Einreiseverbot nicht mittels Suspensionen ausgehöhlt werden darf, kann ein Familienleben dennoch nur in eingeschränktem Rahmen stattfinden. Die mit dem unbestimmten Einreiseverbot einhergehenden Einschränkungen hat der Beschwerdeführer jedoch hinzunehmen, zumal diese zur Verhütung von Straftaten und zum Schutz der öffentlichen Sicherheit erforderlich sind (vgl. Art. 8 Abs. 2 EMRK). Der Kontakt zwischen ihm und seiner in der Schweiz lebenden Familie kann im Übrigen auch auf andere Weise als durch Besuche in der Schweiz gepflegt werden (Briefverkehr, Videotelefonie, Telefonate oder durch Reisen der Ehefrau in den Aufenthaltsstaat des Beschwerdeführers). 6.7 Eine wertende Gewichtung der sich entgegenstehenden Interessen führt das Bundesverwaltungsgericht zum Schluss, dass das unbefristete Einreiseverbot auch im gegenwärtigen Zeitpunkt eine verhältnismässige und angemessene Massnahme zum Schutz der öffentlichen Ordnung darstellt.</w:t>
      </w:r>
    </w:p>
    <w:p>
      <w:r>
        <w:rPr>
          <w:b/>
        </w:rPr>
        <w:t>E. 7</w:t>
      </w:r>
    </w:p>
    <w:p>
      <w:r>
        <w:t>Aus diesen Erwägungen ergibt sich, dass die angefochtene Verfügung im Lichte von Art. 49 VwVG nicht zu beanstanden ist. Die Beschwerde ist demzufolge abzuweisen. 8.Entsprechend dem Ausgang des Verfahrens wird der unterliegende Beschwerdeführer kostenpflichtig (vgl. Art. 63 Abs. 1 VwVG, Art. 1, 2 und 3 Bst. b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