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C-6311/2009 vom 9. Mai 2011</w:t>
      </w:r>
    </w:p>
    <w:p>
      <w:r>
        <w:t>Bundesverwaltungsgericht, 2011-05-09, FR</w:t>
      </w:r>
    </w:p>
    <w:p>
      <w:r>
        <w:rPr>
          <w:b/>
        </w:rPr>
        <w:t xml:space="preserve">Quelle: </w:t>
      </w:r>
      <w:r>
        <w:t>https://mcp.opencaselaw.ch/entscheid/bvger_C-6311_2009</w:t>
      </w:r>
    </w:p>
    <w:p>
      <w:r>
        <w:t>FR: TAF C-6311/2009 du 9 mai 2011</w:t>
      </w:r>
    </w:p>
    <w:p>
      <w:r>
        <w:t>IT: TAF C-6311/2009 del 9 maggio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130 V 445 et les références). Les dispositions de la 5ème révision de la LAI, entrées en vigueur le 1er janvier 2008, sont applicables et les dispositions citées ci-après sont, sauf précision contraire, celles en vigueur à compter du 1er janvier 2008.</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 Toutefois, les rentes correspondant à un degré d'invalidité inférieur à 50 % ne sont versées qu'aux assurés qui ont leur domicile et leur résidence habituelle en Suisse (art. 29 al. 4 LAI). Depuis l'entrée en vigueur des Accords sur la libre circulation des personnes le 1er juin 2002, les ressortissants suisses et de l'Union européenne qui présentent un degré d'invalidité de 40 % au moins ont droit à un quart de rente en application de l'art. 28 al. 2 LAI s'ils ont leur domicile et leur résidence habituelle dans un Etat membre de l'UE.</w:t>
      </w:r>
    </w:p>
    <w:p>
      <w:r>
        <w:rPr>
          <w:b/>
        </w:rPr>
        <w:t>E. 5.1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5.2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Selon la jurisprudence du Tribunal fédéral,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41 LAI (ou de l'actuel 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6.3</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considéré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7.2</w:t>
      </w:r>
    </w:p>
    <w:p>
      <w:r>
        <w:t>En l'occurrence, le recourant a été mis au bénéfice d'une rente entière d'invalidité par décisions des 25 octobre, 3 novembre, 4 et 15 décembre 2006 de l'OAI-VD. La question de savoir si le degré d'invalidité a subi une modification doit donc être jugée en comparant les faits tels qu'ils se présentaient au 25 octobre 2006 et ceux qui ont existé jusqu'au 1er septembre 2009, date de la décision litigieuse.</w:t>
      </w:r>
    </w:p>
    <w:p>
      <w:r>
        <w:rPr>
          <w:b/>
        </w:rPr>
        <w:t>E. 8</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Il ressort des actes de la cause que, initialement, une rente entière avait été allouée au recourant uniquement pour une atteinte psychique. Dans l'expertise médicale du 31 mars 2006 (pce 53), les Drs B._______ et C._______, experts mandatés par l'OAI-VD, ont fait état d'un diagnostic avec influence essentielle sur la capacité de travail d'épisode dépressif sévère sans symptôme psychotique (CIM F 32.2), d'hypertension artérielle (CIM I 10), de status après hémorragie cérébrale aiguë dans le ventricule latéral droit en juin 2004 (CIM I 61.5), de syndrome d'apnée du sommeil appareillé par CPAP (CIM G 74.3), de précordialgies et d'affaiblissement attentionnel et mnésique chez un patient faiblement scolarisé et ont fixé une incapacité de travail totale tant dans l'activité habituelle que dans une activité de substitution en raison de la pathologie psychiatrique en précisant toutefois que la situation devrait être réévaluée dans les deux ans après un traitement approprié. Par la suite le Dr D._______ de l'Hôpital psychiatrique de Z._______, notamment dans son rapport du 22 janvier 2008, a relevé qu'il persistait une symptomatologie subjective associant asthénie et anxiété sans trouble du cours et du contenu de la pensée et sans symptômes de la lignée psychotique avec une compliance médicamenteuse douteuse et a reconnu une capacité de travail de 50 %. En date du 27 mars 2008, le même médecin a précisé que l'assuré avait refusé une psychothérapie cognitivo-comportementale et que la compliance restait douteuse au vu des résultats de laboratoire. L'exigibilité d'un travail à 50 % devait être considérée tant dans la profession antérieure que dans une profession adaptée.</w:t>
      </w:r>
    </w:p>
    <w:p>
      <w:r>
        <w:rPr>
          <w:b/>
        </w:rPr>
        <w:t>E. 9.2</w:t>
      </w:r>
    </w:p>
    <w:p>
      <w:r>
        <w:t>Dans le cadre de la révision, le recourant a été examiné par le Dr G._______, psychiatre. Dans son rapport du 23 février 2009, il constate à l'examen objectif un état vigil, orienté dans le temps et dans l'espace avec un aspect extérieur et un comportement adéquat, une humeur dépressive, sans indication suicidaire, des fonctions mnésiques conservées et un discours adapté, des pensées sans altération de forme et de contenu, une asthénie avec tendance à l'isolement. Du point de vue exclusivement psychiatrique après avoir posé le diagnostic d'épisode dépressif modéré avec symptomatologie somatique, il retient une incapacité de travail de 35 %. Dans le rapport E 213 du 17 mars 2009, la Dresse I._______ observe à l'examen clinique un statu normal du point de vue orthopédique : les mouvements et la marche ne présentent pas d'altérations, il n'y a pas de déficits neurologiques, la colonne vertébrale et les membres supérieurs sont sans particularités, aux membres inférieurs elle constate des gonalgies, mais l'examen s'avère normal. La TAC cérébrale exécutée le 30 janvier 2009 s'est aussi révélée normale ainsi que l'électrocardiogramme du 29 juillet 2008. Sur la base de ces constatations, elle retient un taux d'invalidité de 35 % dans une activité adaptée et considère que les limitations fonctionnelles réduisent la capacité de travail du recourant dans les activités exigeant des efforts physiques soutenus et qui présentent un risque potentiel. A la lumière de cette nouvelle documentation, le médecin de l'OAIE a considéré que la situation du point de vue psychiatrique s'était améliorée et, qu'en l'absence de tout autre diagnostic avec influence sur la capacité de travail, celle-ci devait être fixé à 40 % dans l'activité habituelle dès le 23 février 2009 (date de l'examen psychiatrique).</w:t>
      </w:r>
    </w:p>
    <w:p>
      <w:r>
        <w:rPr>
          <w:b/>
        </w:rPr>
        <w:t>E. 9.3</w:t>
      </w:r>
    </w:p>
    <w:p>
      <w:r>
        <w:t>Le recourant considère que ses diverses pathologies ne lui permettent pas de travailler et que son état de santé se complique suite à son problème respiratoire. Il a produit deux certificats du 12 mars et 1er juillet 2009 de la Dresse H._______, qui tout en reprenant les diagnostics déjà retenus, se limite à conclure que l'état de santé du recourant ne lui permet pas de travailler.</w:t>
      </w:r>
    </w:p>
    <w:p>
      <w:r>
        <w:rPr>
          <w:b/>
        </w:rPr>
        <w:t>E. 9.4</w:t>
      </w:r>
    </w:p>
    <w:p>
      <w:r>
        <w:t>Au vu de ce qui précède, le Tribunal ne peut que se rallier aux conclusions unanimes des médecins de l'OAIE et de l'ISS ainsi que du Dr G._______, psychiatre, et admettre que l'état de santé du recourant s'est amélioré notamment au niveau psychiatrique qui, à l'époque, avait justifié l'attribution d'une rente entière, et que les autres affections dont il est atteint, en particulier le problème respiratoire qui était déjà connu, ne justifient pas de lui reconnaître une incapacité de travail dans son activité habituelle ou dans d'autres activités adaptées. Les résultats des examens objectifs effectués (notamment la TAC cérébrale et l'électrocardiogramme) ne mettent pas en évidence de signes pathologiques. Ainsi, il doit être reconnu une incapacité de travail dans l'activité habituelle de 40 % dès le 23 février 2009, taux qui permet de tenir compte du fait que le recourant ne peut plus effectuer des efforts soutenus ni exercer des activités qui présenteraient des risques, notamment de chute. Procédant à une comparaison des revenus en pour-cent, le taux d'invalidité correspond donc à 40 % (cf. à ce sujet arrêt du Tribunal fédéral 8C_249/2010 du 1er juin 2010 consid. 7.2).</w:t>
      </w:r>
    </w:p>
    <w:p>
      <w:r>
        <w:rPr>
          <w:b/>
        </w:rPr>
        <w:t>E. 9.5</w:t>
      </w:r>
    </w:p>
    <w:p>
      <w:r>
        <w:t>Le droit du recourant à la rente entière est donc remplacé par un quart de rente dès le 1er septembre 2009, la décision litigieuse doit ainsi être confirmée et le recours rejeté.</w:t>
      </w:r>
    </w:p>
    <w:p>
      <w:r>
        <w:rPr>
          <w:b/>
        </w:rPr>
        <w:t>E. 10</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11.1</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le recourant.</w:t>
      </w:r>
    </w:p>
    <w:p>
      <w:r>
        <w:rPr>
          <w:b/>
        </w:rPr>
        <w:t>E. 11.2</w:t>
      </w:r>
    </w:p>
    <w:p>
      <w:r>
        <w:t>Il n'est pas alloué de dépens (art. 64 al. 1 PA a contrario en relation avec les art. 7 ss FITAF). (dispositif à la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