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C-6309/2013 vom 13. Mai 2014</w:t>
      </w:r>
    </w:p>
    <w:p>
      <w:r>
        <w:t>Bundesverwaltungsgericht, 2014-05-13, DE</w:t>
      </w:r>
    </w:p>
    <w:p>
      <w:r>
        <w:rPr>
          <w:b/>
        </w:rPr>
        <w:t xml:space="preserve">Quelle: </w:t>
      </w:r>
      <w:r>
        <w:t>https://mcp.opencaselaw.ch/entscheid/bvger_C-6309_2013</w:t>
      </w:r>
    </w:p>
    <w:p>
      <w:r>
        <w:t>FR: TAF C-6309/2013 du 13 mai 2014</w:t>
      </w:r>
    </w:p>
    <w:p>
      <w:r>
        <w:t>IT: TAF C-6309/2013 del 13 maggio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(zur Motivsubstitution vgl. Kölz/Häner, Verwaltungsverfahren und Verwaltungsrechtspflege des Bundes, 2. Aufl., Zürich 1998, S. 240, Rz. 677). Massgebend ist grundsätzlich die Sachlage zum Zeitpunkt seines Entscheides (vgl. BVGE 2012/21 E. 5.1, 2011/43 E. 6.1 und 2011/1 E. 2).</w:t>
      </w:r>
    </w:p>
    <w:p>
      <w:r>
        <w:rPr>
          <w:b/>
        </w:rPr>
        <w:t>E. 3</w:t>
      </w:r>
    </w:p>
    <w:p>
      <w:r>
        <w:t>Der angefochtenen Verfügung liegt das Gesuch einer Staatsangehörigen aus Kamerun um Erteilung eines Visums für einen 30- bzw. 90-tägigen Aufenthalt in der Schweiz zugrunde. Da sich die Beschwerdeführerin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Gemeinsame Konsularische Instruktion an die diplomatischen Missionen und die konsularischen Vertretungen, die von Berufskonsularbeamten geleitet werden (GKI, ABl. C 326 vom 22.12.2005, S. 1-149) aus, welche Belege sich zum Nachweis der Mittel zur Bestreitung des Lebensunterhalts eignen (vgl. ABl. C 326, S. 11).</w:t>
      </w:r>
    </w:p>
    <w:p>
      <w:r>
        <w:rPr>
          <w:b/>
        </w:rPr>
        <w:t>E. 4.5</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4.6</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 Zudem seien die finanziellen Garantien im vorliegenden Fall ungenügend.</w:t>
      </w:r>
    </w:p>
    <w:p>
      <w:r>
        <w:rPr>
          <w:b/>
        </w:rPr>
        <w:t>E. 5.2</w:t>
      </w:r>
    </w:p>
    <w:p>
      <w:r>
        <w:t>Wie oben erwähnt, unterliegt die Beschwerdeführerin als kamerunische Staatsangehörige der Vi­sumspflicht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BVGer C-3777/2012 vom 28. Januar 2013 E. 5.2 sowie C 4142/2010 vom 15. August 2011 E. 7.2).</w:t>
      </w:r>
    </w:p>
    <w:p>
      <w:r>
        <w:rPr>
          <w:b/>
        </w:rPr>
        <w:t>E. 5.3</w:t>
      </w:r>
    </w:p>
    <w:p>
      <w:r>
        <w:t>Kamerun gilt als führende Handels- und Wirtschaftmacht unter den Staaten der zentralafrikanischen Regionalorganisation (CEMAC). Trotzdem ist die wirtschaftliche Lage nach wie vor prekär. Die Arbeitslosigkeit ist hoch, und ein grosser Teil der Bevölkerung lebt unterhalb der Armutsgrenze (rund 40 %). Das derzeitige Wirtschaftswachstum von rund 4 Prozent ist zu niedrig, um Arbeitsplätze in grösserem Umfang zu schaffen und die Armutsrate nachhaltig zu senken. Der "Human Development Index" des Entwicklungsprogramms der Vereinten Nationen (UNDP) stuft Kamerun 2012 lediglich auf Position 150 von 187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Reisehinweise &gt; Reiseziele &gt; Kamerun, Stand: 8. April 2014; www.auswaertiges-amt.de &gt; Reise &amp; Sicherheit &gt; Reise- und Sicherheitshinweise &gt; Kamerun &gt; Wirtschaft, Stand: Oktober 2012; www.cia.gov &gt; Library &gt; The World Factbook &gt; Cameroon, Stand: 22. April 2014; www.hdr.undp.org &gt; Countries &gt; Cameroon; alle Webseiten besucht im Mai 2014).</w:t>
      </w:r>
    </w:p>
    <w:p>
      <w:r>
        <w:rPr>
          <w:b/>
        </w:rPr>
        <w:t>E. 5.4</w:t>
      </w:r>
    </w:p>
    <w:p>
      <w:r>
        <w:t>Angesichts der schwierigen Lage im Herkunftsland der Beschwerdeführerin ist nicht zu beanstanden, dass die Vorinstanz das Risiko einer nicht fristgerechten Wiederausreise allgemein als hoch einschätzte. Dieses Risiko ist erfahrungsge­mäss noch erhöht, wenn durch die Anwesenheit von Verwandten oder Freunden bereits ein soziales Beziehungsnetz besteht. Angesichts der restriktiven Zulassungsregelung werden dabei nicht selten ausländerrechtliche Bestimmungen umgangen, indem versucht wird, den Aufenthalt - einmal eingereist - auf eine andere Basis zu stellen und sich so der Pflicht zur Wiederausreise zu ent­ziehen. Bei der Risikoanalyse sind aber nicht nur diese Umstände und Erfahrungen, sondern alle Gesichts­punkte des Einzelfalles zu berücksichtigen. Obliegt einer gesuchstellenden Person im Heimatland beispielsweise eine besondere berufliche, gesellschaftliche oder familiäre Verantwortung, kann dies die Prognose für eine anstandslose Wiederausreise begünstigen (vgl. Urteil des BVGer C-2785/2012 vom 17. Juli 2013 E. 6.3 f.). Andererseits muss bei Personen, die in ihrer Heimat keine besonderen Verfplichtungen haben, das Risiko für ein ausländerrechtlich nicht regelkonformes Verhalten (nach bewilligter Einreise zu einem Besuchsaufenthalt) hoch eingeschätzt werden.</w:t>
      </w:r>
    </w:p>
    <w:p>
      <w:r>
        <w:rPr>
          <w:b/>
        </w:rPr>
        <w:t>E. 6.1</w:t>
      </w:r>
    </w:p>
    <w:p>
      <w:r>
        <w:t>Bei der Beschwerdeführerin handelt es sich um eine 27-jährige, unverheiratete Frau, welche in Douala, der grössten Stadt Kameruns, lebt und offenbar noch nie ins Ausland gereist ist. Zu den familiären Verhältnissen wurden von den Beteiligten weder im Gesuchsverfahren noch auf Beschwerdeebene nähere Angaben gemacht.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Entsprechend grosse Bedeutung kommt deshalb den wirtschaftlichen Verhältnissen zu, in denen sich die Beschwerdeführerin befindet. Im Visumsverfahren gab sie an, als Coiffeuse tätig zu sein, ohne jedoch einen entsprechenden Arbeitsvertrag oder allfällige Einkommensbelege vorzuweisen, welche die geltend gemachten beruflichen Bindungen im Heimatland hätten nachweisen können. In den Visumsakten befindet sich lediglich eine Ausbildungsbestätigung eines Coiffeur-Salons in Douala, wonach die Beschwerdeführerin dort vom 1. Januar 2012 bis zum 5. Februar 2013 eine entsprechende Ausbildung absolviert hat. Vor diesem Hintergrund sowie angesichts des vorgesehenen längeren Auslandaufenthaltes, der offenbar mangels finanzieller Mittel vom Gastgeber finanziert werden müsste, ist nicht davon auszugehen, dass die Eingeladene tatsächlich über eine massgebliche berufliche Verankerung bzw. eine gesicherte wirtschaftliche Existenz in ihrem Heimatland verfügt, welche die Gefahr eines Verbleibens in der Schweiz bzw. im Schengen-Raum über den deklarierten Zeitraum hinaus als unwahrscheinlich erscheinen liesse.</w:t>
      </w:r>
    </w:p>
    <w:p>
      <w:r>
        <w:rPr>
          <w:b/>
        </w:rPr>
        <w:t>E. 6.3</w:t>
      </w:r>
    </w:p>
    <w:p>
      <w:r>
        <w:t>Vor dem allgemeinen und persönlichen Hintergrund konnte die Vorinstanz, die bereits einem früheren Einreisebegehren nicht stattgegeben hatte, demnach willkürfrei davon ausgehen, dass keine hinreichende Gewähr für eine fristgerechte und anstandslose Wiederausreise der Beschwerdeführerin nach einem Besuchsaufenthalt besteht. Dass in casu gewisse Festsetzungstendenzen und demzufolge begründete Zweifel am deklarierten Aufenthaltszweck (Besuchsaufenthalt) bestehen, ergibt sich bereits aus den Vorbringen des Gastgebers im vorinstanzlichen Verfahren. In seiner schriftlichen Stellungnahme vom 26. September 2013 hielt dieser gegenüber der kantonalen Migrationsbehörde nämlich fest, er gehe nicht davon aus, dass seine Freundin, die er nicht persönlich, sondern lediglich per Internet kenne, nach dreimonatigem Besuchsaufenthalt wieder in ihr Heimatland zurückkehren werde, wollten sie doch in Zukunft in der Schweiz zusammenleben. Die Voraussetzungen gemäss Art. 14 Abs. 1 Bst. d und Art. 21 Abs. 1 Visakodex sowie Art. 5 Abs. 2 AuG sind somit nicht erfüllt, weshalb die Vorinstanz die Einreisebewilligung zu Recht verweigert hat.</w:t>
      </w:r>
    </w:p>
    <w:p>
      <w:r>
        <w:rPr>
          <w:b/>
        </w:rPr>
        <w:t>E. 6.4</w:t>
      </w:r>
    </w:p>
    <w:p>
      <w:r>
        <w:t>Vor dem sachlichen und rechtlichen Hintergrund des aufgezeigten Emigrationsrisikos kann offen bleiben, ob von der Vorinstanz zu Recht auch ein zusätzlicher Hinderungsgrund in Form einer beim Gastgeber bestehenden ungenügenden Garantiefähigkeit angenommen wurde (vgl. insb. E. 4.3 und 4.4 hievor).</w:t>
      </w:r>
    </w:p>
    <w:p>
      <w:r>
        <w:rPr>
          <w:b/>
        </w:rPr>
        <w:t>E. 6.5</w:t>
      </w:r>
    </w:p>
    <w:p>
      <w:r>
        <w:t>Gründe für die Ausstellung eines Visums mit räumlich beschränkter Gültigkeit (vgl. E. 4.6 hievor) wurden von den Betroffenen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