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C-6305/2011 vom 10. April 2013</w:t>
      </w:r>
    </w:p>
    <w:p>
      <w:r>
        <w:t>Bundesverwaltungsgericht, 2013-04-10, DE</w:t>
      </w:r>
    </w:p>
    <w:p>
      <w:r>
        <w:rPr>
          <w:b/>
        </w:rPr>
        <w:t xml:space="preserve">Quelle: </w:t>
      </w:r>
      <w:r>
        <w:t>https://mcp.opencaselaw.ch/entscheid/bvger_C-6305_2011</w:t>
      </w:r>
    </w:p>
    <w:p>
      <w:r>
        <w:t>FR: TAF C-6305/2011 du 10 avril 2013</w:t>
      </w:r>
    </w:p>
    <w:p>
      <w:r>
        <w:t>IT: TAF C-6305/2011 del 10 aprile 2013</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die von einer in Art. 33 VGG aufgeführten Behörde erlassen wurden. Darunter fallen u.a. Verfügungen des BFM, mit denen die Erteilung einer Einreisebewilligung verweigert wird. In diesem Bereich entscheidet das Bundesverwaltungsgericht endgültig (vgl. Art. 83 Bst. c Ziff. 1 des Bundesgerichtsgesetzes vom 17. Juni 2005 (BGG, SR 173.110]).</w:t>
      </w:r>
    </w:p>
    <w:p>
      <w:r>
        <w:rPr>
          <w:b/>
        </w:rPr>
        <w:t>E. 1.2</w:t>
      </w:r>
    </w:p>
    <w:p>
      <w:r>
        <w:t>Sofern das Verwaltungsgerichtsgesetz nichts anderes bestimmt, richtet sich das Verfahren vor dem Bundesverwaltungsgericht nach dem Verwaltungsverfahrensgesetz (vgl. Art. 37 VGG).</w:t>
      </w:r>
    </w:p>
    <w:p>
      <w:r>
        <w:rPr>
          <w:b/>
        </w:rPr>
        <w:t>E. 1.3</w:t>
      </w:r>
    </w:p>
    <w:p>
      <w:r>
        <w:t>Art. 48 Abs. 1 VwVG legt fest, dass zur Erhebung einer Beschwerde berechtigt ist, wer vor der Vorinstanz am Verfahren teilgenommen hat oder keine Möglichkeit zur Teilnahme erhalten hat (Bst. a), wer durch die angefochtene Verfügung besonders berührt ist (Bst. b) und wer ein schutzwürdiges Interesse an deren Aufhebung oder Änderung hat (Bst. c).</w:t>
      </w:r>
    </w:p>
    <w:p>
      <w:r>
        <w:rPr>
          <w:b/>
        </w:rPr>
        <w:t>E. 1.4</w:t>
      </w:r>
    </w:p>
    <w:p>
      <w:r>
        <w:t>Als erste Voraussetzung nennt Art. 48 Abs. 1 Bst. a VwVG die sog. formelle Beschwer. Dies bedeutet, dass die beschwerdeführende Person am vorinstanzlichen Verfahren teilgenommen haben muss, soweit sie dazu in der Lage war, und sie mit ihren Anträgen ganz oder teilweise unterlegen ist (vgl. Vera Marantelli-Sonanini/Said Huber, in: Waldmann / Weissenberger [Hrsg.], Praxiskommentar VwVG, Zürich 2009, Art. 48 N 22; Isabelle Häner, in: Auer/Müller/Schindler [Hrsg.], Kommentar zum Bundesgesetz über das Verwaltungsverfahren [VwVG], Zürich 2008, Rz. 6 zu Art. 48). Vorliegend ist diese Voraussetzung nur bei der Beschwerdeführerin 1 erfüllt, welche die Einsprache vom 2. August 2011 unterschrieben hat, nicht jedoch bei der Beschwerdeführerin 2 (vgl. Urteil des Bundesverwaltungsgerichts C 6404/2011 vom 25. Mai 2012 E. 1.3). Da die übrigen formellen Voraussetzungen erfüllt sind (vgl. Art. 48 Abs. 1 Bst. b und c VwVG, Art. 50 und 52 VwVG), ist auf die Beschwerde, soweit sie von der Beschwerdeführerin 1 erhoben wurde, einzutreten. Hingegen ist in Bezug auf die Beschwerdeführerin 2 auf die Beschwerde nicht einzutreten.</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2011/43 E. 6.1 und BVGE 2011/1 E. 2).</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w:t>
      </w:r>
    </w:p>
    <w:p>
      <w:r>
        <w:rPr>
          <w:b/>
        </w:rPr>
        <w:t>E. 4</w:t>
      </w:r>
    </w:p>
    <w:p>
      <w:r>
        <w:t>Die inländischen Bestimmungen über das Visumsverfahren und über die Ein- und Ausreise finden Anwendung, sofern die Schengen-Assozi­ierungsabkommen keine abweichenden Bestimmungen enthalten (vgl. Art. 2 Abs. 4 und 5 des Bundesgesetzes vom 16. Dezember 2005 über die Ausländerinnen und Ausländer [AuG, SR 142.20]).</w:t>
      </w:r>
    </w:p>
    <w:p>
      <w:r>
        <w:rPr>
          <w:b/>
        </w:rPr>
        <w:t>E. 5.1</w:t>
      </w:r>
    </w:p>
    <w:p>
      <w:r>
        <w:t>Angehörige von Staaten, die nicht Teil des Schengen-Raumes sind (sog. Drittstaaten), benötigen zur Einreise in die Schweiz bzw. den Schengen-Raum für einen Aufenthalt von höchstens drei Monaten gültige Reisedokumente, die zum Grenzübertritt berechtigen, und ein Visum, sofern dieses erforderlich ist (vgl. Art. 5 Abs. 1 Bst. a AuG sowie Art. 2 Abs. 1 der Verordnung vom 22. Oktober 2008 über die Einreise und die Visumserteilung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[EU] Nr. 265/2010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5.2</w:t>
      </w:r>
    </w:p>
    <w:p>
      <w:r>
        <w:t>Im Weiteren müssen Drittstaatsangehörige den Zweck und die Umstände ihres beabsichtigten Aufenthalts belegen und hierfür über ausreichende finanzielle Mittel verfügen (Art. 5 Abs. 1 Bst. b AuG, Art. 5 Abs. 1 Bst. c SGK und Art. 14 Abs. 1 Bst. a-c der Verordnung [EG] Nr. 810/2009 des Europäischen Parlaments und des Rates vom 13. Juli 2009 über einen Visakodex der Gemeinschaft [nachfolgend: Visakodex, ABl. L 243 vom 15.09.2009, S. 1-58]). Namentlich haben sie zu belegen, dass sie den Schengen-Raum vor Ablauf der Gültigkeitsdauer des beantragten Visums wieder verlassen bzw. Gewähr für ihre fristgerechte Wiederausreise bieten (Art. 14 Abs. 1 Bst. c und Art. 21 Abs. 1 Visakodex sowie Art. 5 Abs. 2 AuG).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Bst. e SGK).</w:t>
      </w:r>
    </w:p>
    <w:p>
      <w:r>
        <w:rPr>
          <w:b/>
        </w:rPr>
        <w:t>E. 5.3</w:t>
      </w:r>
    </w:p>
    <w:p>
      <w:r>
        <w:t>Sind die Voraussetzungen für die Ausstellung eines für den Schengen-Raum einheitlichen Visums nicht erfüllt, so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zum Ganzen Art. 25 Abs. 1 Bst. a Visakodex; ebenso Art. 5 Abs. 4 Bst. c SGK).</w:t>
      </w:r>
    </w:p>
    <w:p>
      <w:r>
        <w:rPr>
          <w:b/>
        </w:rPr>
        <w:t>E. 6</w:t>
      </w:r>
    </w:p>
    <w:p>
      <w:r>
        <w:t>Anhang I zur Verordnung (EG) Nr. 539/2001 des Rates vom 15. März 2001 listet diejenigen Staaten auf, deren Staatsangehörige beim Überschreiten der Aussengrenzen der Schengen-Mitgliedstaaten im Besitze eines Visums sein müssen (ABl. L 81 vom 21.03.2001, S. 1-7; zum vollständigen Quellennachweis vgl. Fussnote zu Art. 4 Abs. 1 VEV). Da Kuba in dieser Liste aufgeführt ist, unterliegt die Gesuchstellerin der Visumspflicht.</w:t>
      </w:r>
    </w:p>
    <w:p>
      <w:r>
        <w:rPr>
          <w:b/>
        </w:rPr>
        <w:t>E. 7</w:t>
      </w:r>
    </w:p>
    <w:p>
      <w:r>
        <w:t>Die Vorinstanz begründet die Abweisung der Einsprache im Wesentlichen damit, dass die Wiederausreise der Gesuchstellerin nicht gewährleistet sei. Bei der Beurteilung des Kriteriums der gesicherten Wiederausreise muss ein zukünftiges Verhalten beurteilt werden. Hierzu sind lediglich Prognosen möglich, wobei jedoch sämtliche Umstände des konkreten Einzelfalles zu würdigen sind. Dabei ist einerseits die allgemeine Lage im Herkunftsland und andererseits die individuelle Situation der gesuchstellenden Person in die Beurteilung mit einzubeziehen.</w:t>
      </w:r>
    </w:p>
    <w:p>
      <w:r>
        <w:rPr>
          <w:b/>
        </w:rPr>
        <w:t>E. 7.1.1</w:t>
      </w:r>
    </w:p>
    <w:p>
      <w:r>
        <w:t>Das Wirtschaftssystem Kubas befindet sich im Umbruch. Seine Grundlage bildet eine sozialistisch und planwirtschaftlich geprägte Ideologie, in der der Staat eine zentrale Rolle spielt. Seit 2010 hat die Regierung zahlreiche Reformschritte eingeleitet. Dazu gehören beispielsweise Freiräume für selbständige Erwerbstätigkeit. Diese Reformschritte haben bis jetzt jedoch keine merkliche Verbesserung der Lebensbedingungen der Bevölkerung bewirkt. Nach wie vor ist das monatliche Durchschnittseinkommen, auch unter Berücksichtigung, dass immer noch Grundnahrungsmittel, Strom und Gas subventioniert werden und die Inanspruchnahme des Gesundheits- und des Bildungswesens kostenlos ist, sehr gering (2012: knapp 20 USD). Der Lebensstandard der Kubaner bestimmt sich ferner durch den Zugang zur konvertiblen Währung, sei es durch Überweisungen aus dem Ausland, einer Beschäftigung im Tourismussektor oder einer Tätigkeit in einem Joint Venture (vgl. www.auswaertiges amt.de Reise &amp; Sicherheit Reise- und Sicherheits­hinweise: Länder A - Z Kuba Wirtschaft, Stand Januar 2013, besucht im April 2013). Bei der Betrachtung der allgemeinen Lage sind auch die Erfahrungen mit der Emigration zu berücksichtigen. So kämpft Kuba seit Jahren mit der Abwanderung seiner Bevölkerung. Jedes Jahr verlassen mehrere zehntausend Personen das Land (vgl. z.B. Der Bund vom 12. August 2011 "Das Volk auf der einsamen Insel ist müde", S. 3 oder die Neue Zürcher Zeitung vom 3. März 2008 "Kultureller Aderlass mit Folgen", S. 21). Zwar begeben sich die meisten Personen in die Vereinigten Staaten, wo sich mittlerweile eine bedeutende Diaspora befindet. Die Erfahrung zeigt aber, dass ein bereits bestehendes familiäres Beziehungsnetz in einem anderen Land auch eine Emigration dorthin begünstigt. Wie sich die seit dem 14. Januar 2013 geltenden Reiseerleichterungen für kubanische Staatsangehörige auf die Auswanderungsbewegung auswirken werden, bleibt abzuwarten und kann deshalb zum jetzigen Zeitpunkt nur bedingt in die Beurteilung des allgemeinen Migrationsrisikos mit einbezogen werden.</w:t>
      </w:r>
    </w:p>
    <w:p>
      <w:r>
        <w:rPr>
          <w:b/>
        </w:rPr>
        <w:t>E. 7.1.2</w:t>
      </w:r>
    </w:p>
    <w:p>
      <w:r>
        <w:t>Angesichts der geschilderten Umstände ist nicht zu beanstanden, dass die Vorinstanz das Risiko einer nicht fristgerechten Wiederausreise von Besuchern aus Kuba allgemein als hoch einschätzt.</w:t>
      </w:r>
    </w:p>
    <w:p>
      <w:r>
        <w:rPr>
          <w:b/>
        </w:rPr>
        <w:t>E. 7.2.1</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w:t>
      </w:r>
    </w:p>
    <w:p>
      <w:r>
        <w:rPr>
          <w:b/>
        </w:rPr>
        <w:t>E. 7.2.2</w:t>
      </w:r>
    </w:p>
    <w:p>
      <w:r>
        <w:t>Bei der Gesuchstellerin handelt es sich um eine heute 44 jährige, ledige Frau. Sie ist seit 2002 als "Agregado de Protocolo", gemäss Angaben der Beschwerdeführerin 1 eine Art Sekretärin, bei einem der Staatsbetriebe angestellt. In Kuba leben noch die Mutter und Geschwister der Gesuchstellerin. Sie betreut nach eigenen Angaben ihren mittlerweile 13 jährigen Neffen, dessen Mutter 2003 bei einem Autounfall ums Leben gekommen sei und dessen Vater sich weder in persönlicher noch in finanzieller Hinsicht um ihn kümmere. Während ihrer Abwesenheit würden sich ihre Mutter und Schwestern um ihren Neffen kümmern.</w:t>
      </w:r>
    </w:p>
    <w:p>
      <w:r>
        <w:rPr>
          <w:b/>
        </w:rPr>
        <w:t>E. 7.2.3</w:t>
      </w:r>
    </w:p>
    <w:p>
      <w:r>
        <w:t>Die Vorinstanz führt hiergegen aus, die Erfahrung zeige, dass eine Erwerbstätigkeit in Kuba nicht geeignet sei, die betroffene Person von einer Emigration abzuhalten. Zudem sei ein dreimonatiger Auslandaufenthalt wohl kaum mit den geltend gemachten beruflichen und familiären Verpflichtungen zu vereinbaren.</w:t>
      </w:r>
    </w:p>
    <w:p>
      <w:r>
        <w:rPr>
          <w:b/>
        </w:rPr>
        <w:t>E. 7.2.4</w:t>
      </w:r>
    </w:p>
    <w:p>
      <w:r>
        <w:t>Der Auffassung der Vorinstanz kann im Zusammenhang mit dem vorliegenden Fall nicht beigepflichtet werden. Die geäusserten Bedenken sind zwar nachvollziehbar, insbesondere weil es an Belegen bezüglich der geltend gemachten familiären Verpflichtungen fehlt bzw. diese angeblich nicht nachgewiesen werden können. Insgesamt ist bei der Gesuchstellerin jedoch von stabilen persönlichen Verhältnissen mit gewichtigen familiären Verpflichtungen auszugehen, die für eine fristgerechte Wiederausreise aus dem Schengen-Raum sprechen (vgl. z.B. Urteile des Bundesverwaltungsgerichts C 4133/2011 vom 29. Januar 2013 E. 6.1, C 4193/2011 vom 7. Februar 2012 E. 6.1, C 4344/2009 vom 19. Januar 2010 E. 7.2). So ist sie seit mehr als zehn Jahren in einem der kubanischen Staatsbetriebe angestellt. Ihr Arbeitgeber ist damit einverstanden, dass sie ins Ausland reist. Sie ist zudem seit rund zehn Jahren für die Betreuung ihres Neffen zuständig, dessen Mutter bei einem Autounfall ums Leben gekommen ist. Dieser ist in einem Alter, in dem er ohne weiteres während einiger Zeit ohne die Gesuchstellerin auskommen kann, zumal er durch ihm vertraute Personen betreut werden würde. Zudem gehört die Gesuchstellerin aufgrund ihres Alters nicht zu jener Personengruppe, von der das grösste Emigrationsrisiko ausgeht. Zugunsten der Gesuchstellerin bzw. deren ordnungsgemässem Verhalten sprechen die Beobachtungen des Rechtsvertreters, der gleichzeitig der Schwiegervater der Beschwerdeführerin 1 ist: Dieser hat im Dezember 2010 die Familie seiner Schwiegertochter in Kuba besucht und kennt die Familienverhältnisse aus eigener Anschauung. Seiner Einschätzung, wonach die Gesuchstellerin auf jeden Fall in ihre Heimat zurückkehren wird, um dort ihren Verpflichtungen weiter nachzukommen, kommt deshalb durchaus Gewicht zu. Gleiches gilt für die Ausführungen zum Aufenthaltszweck. Danach soll der geplante Besuchsaufenthalt einen minimalen persönlichen Kontakt zwischen Gast und der angeheirateten Familie der Beschwerdeführerin 1 ermöglichen, was plausibel erscheint und insofern ebenfalls die Vermutung stützt, dass die ausländerrechtlichen Bestimmungen respektiert werden. Ferner sind in diesem Zusammenhang die neuen Reiseerleichterungen (vgl. E. 7.1.1) insoweit mit in die Beurteilung einzubeziehen, als sie zur Folge haben, dass Auslandreisen leichter angetreten werden können. Es ist deshalb davon auszugehen, dass das angesichts der stabilen persönlichen Verhältnisse und ihrer familiären Verpflichtungen in Kuba ohnehin als klein einzuschätzende Interesse der Gesuchstellerin an einem Verbleib im Ausland noch geringer ausfällt, da sie damit rechnen kann, jederzeit wieder reisen zu können.</w:t>
      </w:r>
    </w:p>
    <w:p>
      <w:r>
        <w:rPr>
          <w:b/>
        </w:rPr>
        <w:t>E. 7.2.5</w:t>
      </w:r>
    </w:p>
    <w:p>
      <w:r>
        <w:t>Zusammenfassend ist somit festzuhalten, dass die persönlichen Verhältnisse der Gesuchstellerin genügend Gewähr für eine fristgerechte Wiederausreise bieten (vgl. Art. 5 Abs. 2 AuG).</w:t>
      </w:r>
    </w:p>
    <w:p>
      <w:r>
        <w:rPr>
          <w:b/>
        </w:rPr>
        <w:t>E. 8</w:t>
      </w:r>
    </w:p>
    <w:p>
      <w:r>
        <w:t>Insgesamt ist somit davon auszugehen, dass die Wiederausreise der Gesuchstellerin trotz der allgemeinen Lage in Kuba als hinreichend gesichert anzusehen ist. Indem die Vorinstanz den rechtserheblichen Sachverhalt wesentlich anders beurteilt hat, hat sie Bundesrecht verletzt (vgl. Art. 49 Bst. a VwVG). Soweit auf die Beschwerde einzutreten ist, ist sie gutzuheissen und die Sache zur neuerlichen Beurteilung an die Vorinstanz zurückzuweisen. Dieser bleibt zu prüfen, ob die übrigen Einreisevoraussetzungen erfüllt sind (vgl. E. 5.1 und 5.2) oder ob allenfalls gemäss Art. 2 Abs. 4 VEV aus humanitären Gründen ein Visum mit räumlich beschränkter Gültigkeit zu erteilen ist.</w:t>
      </w:r>
    </w:p>
    <w:p>
      <w:r>
        <w:rPr>
          <w:b/>
        </w:rPr>
        <w:t>E. 9.1</w:t>
      </w:r>
    </w:p>
    <w:p>
      <w:r>
        <w:t>Bei diesem Ausgang des Verfahrens sind keine Kosten aufzuerlegen (vgl. Art. 63. Abs. 1 und Abs. 2 VwVG) und der geleistete Kostenvorschuss ist zurückzuerstatten.</w:t>
      </w:r>
    </w:p>
    <w:p>
      <w:r>
        <w:rPr>
          <w:b/>
        </w:rPr>
        <w:t>E. 9.2</w:t>
      </w:r>
    </w:p>
    <w:p>
      <w:r>
        <w:t>Eine Parteientschädigung ist nicht auszurichten, da der Vertreter zwar Fürsprecher, jedoch nicht als berufsmässiger Vertreter tätig ist (vgl. Art. 64 Abs. 1 VwVG i.V.m. Art. 8 bis Art. 11 des Reglements vom 21. Februar 2008 über die Kosten und Entschädigungen vor dem Bundesverwaltungsgericht [VGKE, SR 173.320.2]). Zudem fehlt es an Anhaltspunkten bzw. Nachweisen, dass den Beschwerdeführerinnen durch das vorliegende Verfahren notwendige und verhältnismässig hohe Kosten im Sinne von Art. 64 Abs. 1 VwVG entstanden sind (vgl. auch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