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C-6303/2013 vom 12. August 2014</w:t>
      </w:r>
    </w:p>
    <w:p>
      <w:r>
        <w:t>Bundesverwaltungsgericht, 2014-08-12, DE</w:t>
      </w:r>
    </w:p>
    <w:p>
      <w:r>
        <w:rPr>
          <w:b/>
        </w:rPr>
        <w:t xml:space="preserve">Quelle: </w:t>
      </w:r>
      <w:r>
        <w:t>https://mcp.opencaselaw.ch/entscheid/bvger_C-6303_2013</w:t>
      </w:r>
    </w:p>
    <w:p>
      <w:r>
        <w:t>FR: TAF C-6303/2013 du 12 août 2014</w:t>
      </w:r>
    </w:p>
    <w:p>
      <w:r>
        <w:t>IT: TAF C-6303/2013 del 12 agosto 2014</w:t>
      </w:r>
    </w:p>
    <w:p>
      <w:pPr>
        <w:pStyle w:val="Heading2"/>
      </w:pPr>
      <w:r>
        <w:t>Regeste</w:t>
      </w:r>
    </w:p>
    <w:p>
      <w:r>
        <w:t>Rente</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VGG in Verbindung mit Art. 33 lit. d VGG und Art. 85bis Abs. 1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Der Beschwerdeführer ist durch den angefochtenen Einsprache­entscheid berührt und hat ein schutzwürdiges Interesse an dessen Aufhebung oder Änderung, so dass er im Sinne von Art. 48 VwVG und Art. 59 ATSG (SR 830.1) be­schwerdelegitimiert ist.</w:t>
      </w:r>
    </w:p>
    <w:p>
      <w:r>
        <w:rPr>
          <w:b/>
        </w:rPr>
        <w:t>E. 1.3</w:t>
      </w:r>
    </w:p>
    <w:p>
      <w:r>
        <w:t>Da die Beschwerde im Übrigen frist- und formgerecht (Art. 52 Abs. 1 VwVG und Art. 60 Abs. 1 ATSG) eingereicht wurde, ist darauf einzutreten.</w:t>
      </w:r>
    </w:p>
    <w:p>
      <w:r>
        <w:rPr>
          <w:b/>
        </w:rPr>
        <w:t>E. 2</w:t>
      </w:r>
    </w:p>
    <w:p>
      <w:r>
        <w:t>Vorab ist zu prüfen, welche Rechtsnormen im vorliegenden Verfahren zur Anwendung gelangen.</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2.2</w:t>
      </w:r>
    </w:p>
    <w:p>
      <w:r>
        <w:t>Gemäss Art. 37 VGG richtet sich das Verfahren vor dem Bundesverwaltungsgericht (Verwaltungsrechtspflegeverfahren) nach dem VwVG, soweit das VGG nichts anderes bestimmt.</w:t>
      </w:r>
    </w:p>
    <w:p>
      <w:r>
        <w:rPr>
          <w:b/>
        </w:rPr>
        <w:t>E. 2.3</w:t>
      </w:r>
    </w:p>
    <w:p>
      <w:r>
        <w:t>Das Verwaltungsverfahren der Sozialversicherung richtet sich unter Vorbehalt von Art. 55 Abs. 1 VwVG nach Art. 34 ff. ATSG (Art. 3 Bst. dbis VwVG i.V. mit Art. 2 des ATSG und Art. 1 Abs. 1 AHVG).</w:t>
      </w:r>
    </w:p>
    <w:p>
      <w:r>
        <w:rPr>
          <w:b/>
        </w:rPr>
        <w:t>E. 2.4</w:t>
      </w:r>
    </w:p>
    <w:p>
      <w:r>
        <w:t>In materiellrechtlicher Hinsicht sind grundsätzlich diejenigen Rechtssätze massgebend, die bei der Erfüllung des zu Rechtsfolgen führenden Tat­bestandes Geltung hatten (vgl. BGE 130 V 329 E. 2.3). Die Beurtei­lung des am 3. Januar 2013 gestellten Leistungsgesuchs richtet sich demzufolge nach dem AHVG in der seit 1. Januar 2013 gel­tenden Fassung sowie nach der AHVV (SR 831.101) in der seit 1. Januar 2013 gülti­gen Fassung.</w:t>
      </w:r>
    </w:p>
    <w:p>
      <w:r>
        <w:rPr>
          <w:b/>
        </w:rPr>
        <w:t>E. 2.5</w:t>
      </w:r>
    </w:p>
    <w:p>
      <w:r>
        <w:t>Der Beschwerdeführer ist ungarischer Staatsangehöriger,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Bundesverwaltungsgerichts C-3985/2012 vom 25. Februar 2013 E. 2.1). Demnach bestimmt sich vorliegend die Frage, ob Anspruch auf Leistungen der schweizerischen AHV besteht, alleine aufgrund der schweizerischen Rechtsvorschriften.</w:t>
      </w:r>
    </w:p>
    <w:p>
      <w:r>
        <w:rPr>
          <w:b/>
        </w:rPr>
        <w:t>E. 3</w:t>
      </w:r>
    </w:p>
    <w:p>
      <w:r>
        <w:t>Anfechtungsobjekt bildet die Einspracheverfügung vom 3. Oktober 2013, mit der die Vorinstanz das Leistungsgesuch der Beschwerdeführerin mangels ausreichender Beitragszeit abgewiesen hat. Streitig und vom Bundesverwaltungsgericht zu prüfen ist der Anspruch des Beschwerdeführers auf eine ordentliche Rente der AHV.</w:t>
      </w:r>
    </w:p>
    <w:p>
      <w:r>
        <w:rPr>
          <w:b/>
        </w:rPr>
        <w:t>E. 4</w:t>
      </w:r>
    </w:p>
    <w:p>
      <w:r>
        <w:t>Anspruch auf eine ordentliche Altersrente haben nach Art. 29 Abs. 1 AHVG die rentenberechtigten Personen, denen für mindestens ein volles Jahr Einkommen, Erziehungs- oder Betreuungsgutschriften angerechnet werden können. Ein volles Beitragsjahr liegt vor, wenn eine Person insgesamt länger als elf Monate im Sinne von Artikel 1a oder 2 AHVG versichert war und während dieser Zeit den Mindestbeitrag bezahlt hat (Art. 50 AHVV). Nach Art. 1a AHVG sind bei der AHV versichert die natürlichen Personen mit Wohnsitz in der Schweiz und die natürlichen Personen, die in der Schweiz eine Erwerbstätigkeit ausüben.</w:t>
      </w:r>
    </w:p>
    <w:p>
      <w:r>
        <w:rPr>
          <w:b/>
        </w:rPr>
        <w:t>E. 4.1</w:t>
      </w:r>
    </w:p>
    <w:p>
      <w:r>
        <w:t>Da der Versicherte nie einen Wohnsitz in der Schweiz begründete, ist für die Versicherungsdauer die in der Schweiz ausgeübte Erwerbstätigkeit massgebend. Voraussetzung einer ordentlichen Rente der AHV ist vorliegend eine Erwerbstätigkeit in der Schweiz während insgesamt mehr als elf Monaten.</w:t>
      </w:r>
    </w:p>
    <w:p>
      <w:r>
        <w:rPr>
          <w:b/>
        </w:rPr>
        <w:t>E. 4.2</w:t>
      </w:r>
    </w:p>
    <w:p>
      <w:r>
        <w:t>Nach den Eintragungen im IK-Auszug wurde vom Beschwerdeführer während fünf Monaten eine beitragspflichtige Erwerbstätigkeit in der Schweiz ausgeübt. Umstritten ist ob in den Monaten Februar bis April 1980 eine weitere Erwerbstätigkeit ausgeübt wurde und entsprechend drei weitere Beitragsmonate anzurechnen seien.</w:t>
      </w:r>
    </w:p>
    <w:p>
      <w:r>
        <w:rPr>
          <w:b/>
        </w:rPr>
        <w:t>E. 4.3</w:t>
      </w:r>
    </w:p>
    <w:p>
      <w:r>
        <w:t>Die unabdingbare Voraussetzung der Mindestversicherungszeit von einem vollen Beitragsjahr im Sinne von Art. 29 Abs. 1 AHVG wäre auch bei Berücksichtigung von weiteren drei Beitragsmonaten nicht gegeben. Eine ordentliche Altersrente könnte somit auch dann nicht zugesprochen werden, wenn bewiesen wäre, dass eine beitragspflichtige Erwerbstätigkeit während dieser Zeitspanne ausgeübt wurde. Das Rentengesuch wurde von der Vorinstanz somit zu Recht abgewiesen. Ob in den Monaten Februar bis April 1980 eine Erwerbstätigkeit ausgeübt wurde, und ob Lohnabzüge erfolgt sind, kann offenbleiben, und es ist in diesem Verfahren darüber kein Beweis zu führen.</w:t>
      </w:r>
    </w:p>
    <w:p>
      <w:r>
        <w:rPr>
          <w:b/>
        </w:rPr>
        <w:t>E. 5</w:t>
      </w:r>
    </w:p>
    <w:p>
      <w:r>
        <w:t>Die Beschwerde erweist sich als offensichtlich unbegründet, weshalb sie im einzelrichterlichen Verfahren abzuweisen ist (Art. 23 Abs. 2 VGG i.V. mit Art. 85bis Abs. 3 AHVG).</w:t>
      </w:r>
    </w:p>
    <w:p>
      <w:r>
        <w:rPr>
          <w:b/>
        </w:rPr>
        <w:t>E. 6</w:t>
      </w:r>
    </w:p>
    <w:p>
      <w:r>
        <w:t>Das Verfahren ist für die Parteien kostenlos, weshalb keine Verfahrenskosten zu erheben sind (Art. 85bis Abs. 2 AHVG).</w:t>
      </w:r>
    </w:p>
    <w:p>
      <w:r>
        <w:rPr>
          <w:b/>
        </w:rPr>
        <w:t>E. 7</w:t>
      </w:r>
    </w:p>
    <w:p>
      <w:r>
        <w:t>Der unterliegende Beschwerdeführer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