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C-62/2023 vom 22. November 2022</w:t>
      </w:r>
    </w:p>
    <w:p>
      <w:r>
        <w:t>Bundesverwaltungsgericht, 2022-11-22, DE</w:t>
      </w:r>
    </w:p>
    <w:p>
      <w:r>
        <w:rPr>
          <w:b/>
        </w:rPr>
        <w:t xml:space="preserve">Quelle: </w:t>
      </w:r>
      <w:r>
        <w:t>https://mcp.opencaselaw.ch/entscheid/bvger_C-62_2023_d20221122</w:t>
      </w:r>
    </w:p>
    <w:p>
      <w:r>
        <w:t>FR: TAF C-62/2023 du 22 novembre 2022</w:t>
      </w:r>
    </w:p>
    <w:p>
      <w:r>
        <w:t>IT: TAF C-62/2023 del 22 novembre 2022</w:t>
      </w:r>
    </w:p>
    <w:p>
      <w:pPr>
        <w:pStyle w:val="Heading2"/>
      </w:pPr>
      <w:r>
        <w:t>Regeste</w:t>
      </w:r>
    </w:p>
    <w:p>
      <w:r>
        <w:t>Invalidenversicherung (&amp;Uuml;briges) | Invalidenversicherung, Vorläufige Einstellung der Invalidenrente, Zwischenverfügung vom 22. November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und 2014/4 E. 1.2).</w:t>
      </w:r>
    </w:p>
    <w:p>
      <w:r>
        <w:rPr>
          <w:b/>
        </w:rPr>
        <w:t>E. 1.1</w:t>
      </w:r>
    </w:p>
    <w:p>
      <w:r>
        <w:t>Gemäss Art. 31 VGG (SR 173.32)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Angefochten ist die Zwischenverfügung vom 22. November 2022, mit welcher die Vorinstanz die halbe Invalidenrente der Beschwerdeführerin per 30. November 2022 vorläufig eingestellt hat. Beim Anfechtungsobjekt handelt es sich um eine Zwischenverfügung nach Art. 46 VwVG (vgl. Urteil des BVGer C-1439/2023 vom 16. Oktober 2023 E. 1.3). Gegen eine solche Zwischenverfügung ist die Beschwerde namentlich dann zulässig, wenn sie einen nicht wieder gutzumachenden Nachteil bewirken kann (Art. 46 Abs. 1 Bst. a VwVG), der – im Unterschied zum Anwendungsbereich von</w:t>
      </w:r>
    </w:p>
    <w:p>
      <w:r>
        <w:t>C-62/2023 Seite 5 Art. 93 Abs. 1 Bst. a BGG – auch tatsächlicher Natur sein kann (vgl. Urteil des BVGer C-5367/2022 vom 26. Juni 2023 E. 2.2.1). Die vorsorgliche Ein- stellung der Zahlung einer Invalidenrente, die als Ersatzeinkommen den Lebensbedarf zumindest teilweise decken soll, stellt einen nicht wieder gut- zumachenden Nachteil im Sinn von Art. 46 Abs. 1 Bst. a VwVG dar (Urteil C-1439/2023 E. 1.3). Die Beschwerde gegen die Zwischenverfügung vom 22. November 2022 ist daher zulässig.</w:t>
      </w:r>
    </w:p>
    <w:p>
      <w:r>
        <w:rPr>
          <w:b/>
        </w:rPr>
        <w:t>E. 1.3</w:t>
      </w:r>
    </w:p>
    <w:p>
      <w:r>
        <w:t>Die Beschwerdeführerin ist als Adressatin der angefochtenen Verfü- gung durch diese besonders berührt und hat ein schutzwürdiges Interesse an deren Aufhebung oder Abänderung, weshalb sie zur Erhebung der Be- schwerde legitimiert ist (Art. 48 Abs. 1 VwVG; Art. 59 ATSG).</w:t>
      </w:r>
    </w:p>
    <w:p>
      <w:r>
        <w:rPr>
          <w:b/>
        </w:rPr>
        <w:t>E. 1.4</w:t>
      </w:r>
    </w:p>
    <w:p>
      <w:r>
        <w:t>Da die Beschwerde im Übrigen frist- und formgerecht (Art. 52 Abs. 1 VwVG; Art. 60 Abs. 1 ATSG) eingereicht wurde, ist auf die Beschwerde ein- zutreten.</w:t>
      </w:r>
    </w:p>
    <w:p>
      <w:r>
        <w:rPr>
          <w:b/>
        </w:rPr>
        <w:t>E. 2.1</w:t>
      </w:r>
    </w:p>
    <w:p>
      <w:r>
        <w:t>Anfechtungs- und Streitgegenstand beschränken sich auf die Frage, ob die Vorinstanz zu Recht die Auszahlung der Invalidenrente der Be- schwerdeführerin vorläufig eingestellt hat (Art. 52a ATSG).</w:t>
      </w:r>
    </w:p>
    <w:p>
      <w:r>
        <w:rPr>
          <w:b/>
        </w:rPr>
        <w:t>E. 2.2</w:t>
      </w:r>
    </w:p>
    <w:p>
      <w:r>
        <w:t>Die Beschwerdeführerin ist deutsche Staatsangehörige, wohnt in Deutschland und war bis 31. August 2017 in der Schweiz wohnhaft und hier auch erwerbstätig (IVSTA-act. 41 und 46). Ungeachtet des am 1. Juni 2002 in Kraft getretenen Abkommens vom 21. Juni 1999 zwischen der Schweizerischen Eidgenossenschaft einerseits und der Europäischen Gemeinschaft und ihren Mitgliedstaaten andererseits über die Freizü- gigkeit (FZA; SR 0.142.112.681) ist materiell schweizerisches Recht an- zuwenden (BGE 130 V 253 E. 2.4; Urteil des BGer 8C_111/2020 vom 15. Juli 2020 E. 2).</w:t>
      </w:r>
    </w:p>
    <w:p>
      <w:r>
        <w:rPr>
          <w:b/>
        </w:rPr>
        <w:t>E. 2.3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w:t>
      </w:r>
    </w:p>
    <w:p>
      <w:r>
        <w:rPr>
          <w:b/>
        </w:rPr>
        <w:t>E. 2.4</w:t>
      </w:r>
    </w:p>
    <w:p>
      <w:r>
        <w:t>Das Bundesverwaltungsgericht prüft die Verletzung von Bundesrecht einschliesslich der Überschreitung oder des Missbrauchs des Ermessens, die unrichtige oder unvollständige Feststellung des rechtserheblichen</w:t>
      </w:r>
    </w:p>
    <w:p>
      <w:r>
        <w:t>C-62/2023 Seite 6 Sachverhalts und die Unangemessenheit (Art. 49 VwVG; BGE 137 V 71 E. 5.2).</w:t>
      </w:r>
    </w:p>
    <w:p>
      <w:r>
        <w:rPr>
          <w:b/>
        </w:rPr>
        <w:t>E. 2.5</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 ET AL., Prozes- sieren vor dem Bundesverwaltungsgericht, 3. Aufl. 2022, Rz. 1.54).</w:t>
      </w:r>
    </w:p>
    <w:p>
      <w:r>
        <w:rPr>
          <w:b/>
        </w:rPr>
        <w:t>E. 3</w:t>
      </w:r>
    </w:p>
    <w:p>
      <w:r>
        <w:t>März 2021 E. 4.4; vgl. auch Urteil des BVGer C-1331/2020 vom 28. April 2021 E. 5.3.5). Vorbehalten bleiben Situationen, in denen die Aufhebung des angefochtenen Entscheids aus formellen Gründen zu unnötigen Ver- zögerungen führen würde, die mit dem (der Anhörung gleichstellten) Inte- resse der betroffenen Partei an einer behördlichen Beurteilung der Sache nicht vereinbar wäre (Urteil 9C_551/2022 E. 4.3.1 und E. 5.3.2).</w:t>
      </w:r>
    </w:p>
    <w:p>
      <w:r>
        <w:rPr>
          <w:b/>
        </w:rPr>
        <w:t>E. 3.1.1</w:t>
      </w:r>
    </w:p>
    <w:p>
      <w:r>
        <w:t>Gemäss Art. 52a ATSG kann der Versicherungsträger die Ausrich- tung von Leistungen vorsorglich einstellen, wenn die Abklärungen ergeben, dass ein Leistungsbezug mit grosser Wahrscheinlichkeit nicht oder nicht mehr berechtigt ist, aber ein endgültiger Entscheid über die Leistung nicht innert nützlicher Frist möglich ist (so Botschaft vom 2. März 2018 zur Än- derung des Bundesgesetzes über den Allgemeinen Teil des Sozialversi- cherungsrechts, BBl 2018 1607, 1637). Der Zweck dieser vorsorglichen Massnahme liegt darin, die Wirksamkeit einer erst später zu treffenden de- finitiven Anordnung sicherzustellen, ohne jedoch den Endentscheid zu prä- judizieren (vgl. eingehend Urteile C-1439/2023 E. 4.2, C-5367/2022 E. 2.1 und E. 4.3). Eine vorsorgliche Einstellung von Leistungen nach Art. 52a ATSG kann namentlich darin gründen, dass ein Versicherungsträger fest- stellt, dass eine versicherte Person zwar ein für den Leistungsanspruch erhebliches Einkommen erzielt, dieses aber nicht ordnungsgemäss gemel- det hat (BBl 2018 1607, 1638). Dabei müssen hinreichende Anhaltspunkte vorliegen, dass die versicherte Person ihre Meldepflicht verletzt hat und ein rentenrelevantes Einkommen erzielt; blosse Verdachtsmomente, die auf vagen Anhaltspunkten beruhen, genügen nicht (Urteil C-65/2022 E. 5 mit Hinweisen; vgl. auch BGer-Urteil 8C_767/2023 vom 30. Januar 2024 E. 1; BBl 2018 1607, 1638).</w:t>
      </w:r>
    </w:p>
    <w:p>
      <w:r>
        <w:t>C-62/2023 Seite 7</w:t>
      </w:r>
    </w:p>
    <w:p>
      <w:r>
        <w:rPr>
          <w:b/>
        </w:rPr>
        <w:t>E. 3.1.2</w:t>
      </w:r>
    </w:p>
    <w:p>
      <w:r>
        <w:t>Die zuständige IV-Stelle teilt der versicherten Person den vorgesehe- nen Entscheid über die vorsorgliche Einstellung von Leistungen mittels Vorbescheids mit (Art. 57a Abs. 1 Satz 1 IVG). Mit dieser Regelung hat der Gesetzgeber klargestellt, dass das Vorbescheidverfahren auch bei einer vorsorglichen Leistungseinstellung durchzuführen ist (BBl 2018 1607, 1648). Die versicherte Person hat Anspruch auf rechtliches Gehör (Art. 57a Abs. 1 Satz 2 IVG i.Vm. Art. 42 ATSG) und kann innerhalb einer Frist von 30 Tagen Einwände zum Vorbescheid vorbringen (Art. 57a Abs. 3 IVG). Die Begründung der Verfügung hat sich mit den für die Verfügung relevanten Einwänden zum Vorbescheid auseinanderzusetzen (vgl. Art. 74 Abs. 2 IVV; Urteil des BGer 8C_668/2018 vom 13. Februar 2019 E. 4.1 mit Hinweisen).</w:t>
      </w:r>
    </w:p>
    <w:p>
      <w:r>
        <w:rPr>
          <w:b/>
        </w:rPr>
        <w:t>E. 3.1.3</w:t>
      </w:r>
    </w:p>
    <w:p>
      <w:r>
        <w:t>Die Nichtbeachtung der gesetzlichen Pflicht zum Erlass des Vorbe- scheids wie überhaupt Verstösse gegen die bei der Durchführung des Vor- bescheidverfahrens zu beachtenden Regeln über die Gehörs- respektive Akteneinsichtsgewährung sind, soweit es sich nicht um blosse Ordnungs- vorschriften handelt, nach den Grundsätzen über die Verletzung des recht- lichen Gehörs zu sanktionieren (BGE 116 V 182). Dabei gilt die Unterlas- sung des gesetzlich gebotenen Vorbescheidverfahrens rechtsprechungs- gemäss als schwere Verletzung des Gehörsanspruchs, bei welcher die Möglichkeit der Heilung im Rahmen des nachfolgenden Beschwerdepro- zesses nur sehr zurückhaltend anzunehmen ist (Urteile des BGer 9C_551/2022 vom 4. März 2024 E. 4.3 und E. 5.3.2, 9C_555/2020 vom</w:t>
      </w:r>
    </w:p>
    <w:p>
      <w:r>
        <w:rPr>
          <w:b/>
        </w:rPr>
        <w:t>E. 3.2.1</w:t>
      </w:r>
    </w:p>
    <w:p>
      <w:r>
        <w:t>Vorliegend hat die Vorinstanz von einem Vorbescheidverfahren ab- gesehen und direkt eine Zwischenverfügung erlassen (IVSTA-act. 99). Die angefochtene Zwischenverfügung ist diesbezüglich zwar redaktionell un- klar abgefasst, indem sie den Hinweis enthält, gegen den «Vorbescheid» könne innert 30 Tagen Einwand erhoben werden. Diese mangelhafte Rechtsmittelbelehrung – aus welcher der Beschwerdeführerin kein Nach- teil erwachsen ist – ändert aber nichts daran, dass der angefochtene Ver- waltungsakt eine Verfügung nach Art. 5 und Art. 46 VwVG darstellt (vgl. BGE 141 V 330 E. 5.1). Der ausdrücklich als «Zwischenverfügung»</w:t>
      </w:r>
    </w:p>
    <w:p>
      <w:r>
        <w:t>C-62/2023 Seite 8 bezeichnete Verwaltungsakt ordnet die vorsorgliche Einstellung der Invali- denrente ab 30. November 2022 an und entzieht einer Beschwerde die aufschiebende Wirkung (IVSTA-act. 99). Die Vorinstanz hat die als «Ein- wand» bezeichnete Eingabe der Beschwerdeführerin vom 5. Dezember 2022 (BVGer-act. 1) denn auch nicht materiell behandelt, sondern dem Bundesverwaltungsgericht «zur weiteren Veranlassung» weitergeleitet (BVGer-act. 2).</w:t>
      </w:r>
    </w:p>
    <w:p>
      <w:r>
        <w:rPr>
          <w:b/>
        </w:rPr>
        <w:t>E. 3.2.2</w:t>
      </w:r>
    </w:p>
    <w:p>
      <w:r>
        <w:t>Der direkte Erlass der Zwischenverfügung vom 22. November 2022 ohne vorangegangenes Vorbescheidverfahren stellt einen schwerwiegen- den Verfahrensfehler dar. Angesichts der einschneidenden Folgen einer vorsorglichen Leistungseinstellung ist es entscheidend, dass die versi- cherte Person ihre Einwände im vorinstanzlichen Verfahren wirksam zur Geltung bringen kann und von der Vorinstanz gehört wird. Das war hier nicht der Fall: Die Vorinstanz hat sich mit den Einwänden der Beschwerde- führerin betreffend Meldepflichtverletzung nicht auseinandergesetzt (vgl. E-Mail der Beschwerdeführerin vom 22. Juni 2022 [IVSTA-act. 79] und E- Mail der Beschwerdeführerin vom 14. Mai 2022 [IVST-act. 77]). Vielmehr geht die Vorinstanz noch im Beschwerdeverfahren aktenwidrig davon aus, es liege «unbestrittenermassen» eine Meldepflichtverletzung vor (vgl. BVGer-act. 16). Daran ändert nichts, dass die Beschwerdeführerin zu ei- nem späteren Zeitpunkt im Beschwerdeverfahren Beweisschwierigkeiten bei der geltend gemachten Postzustellung eingeräumt hat (BVGer-act. 23, Rz. 16).</w:t>
      </w:r>
    </w:p>
    <w:p>
      <w:r>
        <w:rPr>
          <w:b/>
        </w:rPr>
        <w:t>E. 3.2.3</w:t>
      </w:r>
    </w:p>
    <w:p>
      <w:r>
        <w:t>Der schwerwiegende Verfahrensfehler der Vorinstanz rechtfertigt eine Aufhebung des angefochtenen Entscheids aus formellen Gründen. Anders zu entscheiden hiesse, das Vorbescheidverfahren und den damit verbundenen Anspruch auf rechtliches Gehör seines Sinngehalts zu ent- leeren (Urteile 9C_551/2022 E. 5.3.2, 9C_555/2020 E. 5.3). Mit der Aufhe- bung des angefochtenen Entscheids entfällt die Grundlage für die vorsorg- liche Einstellung der Leistungen.</w:t>
      </w:r>
    </w:p>
    <w:p>
      <w:r>
        <w:rPr>
          <w:b/>
        </w:rPr>
        <w:t>E. 4</w:t>
      </w:r>
    </w:p>
    <w:p>
      <w:r>
        <w:t>Zu befinden bleibt über die Verfahrenskosten und eine allfällige Parteient- schädigung.</w:t>
      </w:r>
    </w:p>
    <w:p>
      <w:r>
        <w:rPr>
          <w:b/>
        </w:rPr>
        <w:t>E. 4.1</w:t>
      </w:r>
    </w:p>
    <w:p>
      <w:r>
        <w:t>Das Beschwerdeverfahren bei Streitigkeiten über IV-Leistungen ist kostenpflichtig (Art. 69 Abs. 1bis i. V. m. Abs. 2 IVG). Gemäss Art. 63 Abs. 1 VwVG auferlegt das Bundesverwaltungsgericht die Verfahrenskosten in der Regel der unterliegenden Partei. Der obsiegenden Beschwerdeführerin</w:t>
      </w:r>
    </w:p>
    <w:p>
      <w:r>
        <w:t>C-62/2023 Seite 9 sind demnach keine Verfahrenskosten aufzuerlegen. Die gewährte unent- geltliche Prozessführung kommt nicht zum Tragen. Der unterliegenden Vo- rinstanz sind keine Verfahrenskosten aufzuerlegen (Art. 63 Abs. 2 VwVG).</w:t>
      </w:r>
    </w:p>
    <w:p>
      <w:r>
        <w:rPr>
          <w:b/>
        </w:rPr>
        <w:t>E. 4.2.1</w:t>
      </w:r>
    </w:p>
    <w:p>
      <w:r>
        <w:t>Die obsiegende Beschwerdeführerin hat Anspruch auf eine Parteient- schädigung (Art. 64 Abs. 1 VwVG in Verbindung mit Art. 7 Abs. 1 des Reg- lements vom 21. Februar 2008 über die Kosten und Entschädigungen vor dem Bundesverwaltungsgericht [VGKE, SR 173.320.2]). Die gewährte un- entgeltliche Rechtsverbeiständung kommt damit ebenfalls nicht zum Tra- gen. Die Parteientschädigung für Beschwerdeverfahren vor Bundesverwal- tungsgericht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w:t>
      </w:r>
    </w:p>
    <w:p>
      <w:r>
        <w:rPr>
          <w:b/>
        </w:rPr>
        <w:t>E. 4.2.2</w:t>
      </w:r>
    </w:p>
    <w:p>
      <w:r>
        <w:t>Mit Eingabe vom 29. November 2023 hat der Anwalt der Beschwer- deführerin eine detaillierte Kostennote über Fr. 2'652.25 eingereicht (10.3 Stunden zu Fr. 250.-, 3% Kleinspesenpauschale) (BVGer-act. 27). Als unnötig erscheinen der Aufwand eines zweiten Rechtsanwalts (total Fr. 125.-) sowie die internen Besprechungen mit einem zweiten Rechtsan- walt (total Fr. 100.-). Hinsichtlich der geltend gemachten Kleinspesenpau- schale von 3% (Fr. 77.25) ist darauf hinzuweisen, dass Spesen grundsätz- lich aufgrund der tatsächlichen Kosten ausbezahlt werden (Art. 11 Abs. 1 Satz 1 VGKE). Für Kopien können 50 Rappen pro Seite berechnet werden (Art. 11 Abs. 4 VGKE). Da die Auslagen vorliegend nicht ausgewiesen sind, sind sie nach pflichtgemässem Ermessen auf Fr. 50.- festzusetzen. Die notwendigen Vertretungskosten der Beschwerdeführerin belaufen sich demnach auf insgesamt Fr. 2'400.- (9.4 Stunden zu Fr. 250.- zuzüglich Aus- lagen von Fr. 50.-).</w:t>
      </w:r>
    </w:p>
    <w:p>
      <w:r>
        <w:t>C-62/2023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