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C-62/2006 vom 3. April 2007</w:t>
      </w:r>
    </w:p>
    <w:p>
      <w:r>
        <w:t>Bundesverwaltungsgericht, 2007-04-03, FR</w:t>
      </w:r>
    </w:p>
    <w:p>
      <w:r>
        <w:rPr>
          <w:b/>
        </w:rPr>
        <w:t xml:space="preserve">Quelle: </w:t>
      </w:r>
      <w:r>
        <w:t>https://mcp.opencaselaw.ch/entscheid/bvger_C-62_2006</w:t>
      </w:r>
    </w:p>
    <w:p>
      <w:r>
        <w:t>FR: TAF C-62/2006 du 3 avril 2007</w:t>
      </w:r>
    </w:p>
    <w:p>
      <w:r>
        <w:t>IT: TAF C-62/2006 del 3 aprile 2007</w:t>
      </w:r>
    </w:p>
    <w:p>
      <w:pPr>
        <w:pStyle w:val="Heading2"/>
      </w:pPr>
      <w:r>
        <w:t>Regeste</w:t>
      </w:r>
    </w:p>
    <w:p>
      <w:r>
        <w:t>Entrée</w:t>
      </w:r>
    </w:p>
    <w:p>
      <w:pPr>
        <w:pStyle w:val="Heading2"/>
      </w:pPr>
      <w:r>
        <w:t>Erwägungen</w:t>
      </w:r>
    </w:p>
    <w:p>
      <w:r>
        <w:rPr>
          <w:b/>
        </w:rPr>
        <w:t>E. 5</w:t>
      </w:r>
    </w:p>
    <w:p>
      <w:r>
        <w:t>Lorsqu'elle prononce une telle interdiction, l'autorité administrative doit respecter les principes d'égalité et de proportionnalité et s'interdire tout arbitraire (André Grisel, Traité de droit administratif, vol. I, Neuchâtel 1984, p. 348, 358s et 364s, Blaise Kanpp, Précis de droit administratif, Bâle 1991, p. 103s, 113s, 124s). Il doit en outre exister un rapport raisonnable entre le but recherché par la mesure prise et l'atteinte à un intérêt juridiquement protégé qui en découle pour celui qui en fait l'objet (JAAC 63.1, 52.6, 51.40). L'interdiction d'entrée prononcée à l'endroit de A._______ est une mesure administrative de contrôle qui tend à la tenir éloignée de la Suisse où elle s'est montrée indésirable et a gravement contrevenu aux prescriptions sur la police des étrangers. Il en va de l'intérêt de l'Etat à voir respectés l'ordre établi et la législation en vigueur. En l'état, l'intéressée n'a aucun intérêt - outre la pure convenance personnelle - de se rendre en Suisse. Dans la mesure où la relation que la recourante entretient avec B._______ n'est protégée ni par le droit international, notamment par l'art. 8 de la Convention du 4 novembre 1950 de sauvegarde des droits de l'homme et des libertés fondamentales (CEDH, RS 0.101), ni par le droit national (cf. art. 13 de la Constitution fédérale de la Confédération suisse du 18 avril 1999 [Cst., RS 101]) et où l'intéressée n'a pas d'intérêt digne de protection à se rendre en Suisse, son intérêt privé ne saurait l'emporter sur l'intérêt public à son éloignement de Suisse. De plus, les infractions aux prescriptions sur la police des étrangers commises par la recourante revêtent, comme précisé ci-dessus, un caractère de gravité certain et le comportement qu'elle a eu en Suisse n'est pas exempt de reproches. Au vu de l'ensemble des éléments de la cause, une durée de trois ans de l'interdiction d'entrée en Suisse n'apparaît pas disproportionnée.</w:t>
      </w:r>
    </w:p>
    <w:p>
      <w:r>
        <w:rPr>
          <w:b/>
        </w:rPr>
        <w:t>E. 6</w:t>
      </w:r>
    </w:p>
    <w:p>
      <w:r>
        <w:t>Compte tenu des considérants exposés ci-dessus, il appert que, par sa décision du 3 février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