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C-6298/2012 vom 29. Oktober 2014</w:t>
      </w:r>
    </w:p>
    <w:p>
      <w:r>
        <w:t>Bundesverwaltungsgericht, 2014-10-29, IT</w:t>
      </w:r>
    </w:p>
    <w:p>
      <w:r>
        <w:rPr>
          <w:b/>
        </w:rPr>
        <w:t xml:space="preserve">Quelle: </w:t>
      </w:r>
      <w:r>
        <w:t>https://mcp.opencaselaw.ch/entscheid/bvger_C-6298_2012</w:t>
      </w:r>
    </w:p>
    <w:p>
      <w:r>
        <w:t>FR: TAF C-6298/2012 du 29 octobre 2014</w:t>
      </w:r>
    </w:p>
    <w:p>
      <w:r>
        <w:t>IT: TAF C-6298/2012 del 29 ottobre 2014</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Il Tribunale amministrativo federale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Nel caso in esame la questione litigiosa risiede nel sapere se l'autorità inferiore, emanando la decisione del 13 novembre 2012 con cui ha ridotto a tre quarti la rendita intera erogata a A._______ senza permettere all'assicurato di visionare ed eventualmente contestare la perizia pluridisciplinare del SAM del 16 luglio 2012, abbia violato o meno il diritto di essere sentito. A titolo abbondanziale nel merito il ricorrente rileva che essendo lo stato di salute peggiorato, il grado d'invalidità non può essere mutato.</w:t>
      </w:r>
    </w:p>
    <w:p>
      <w:r>
        <w:rPr>
          <w:b/>
        </w:rPr>
        <w:t>E. 5.1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5.2</w:t>
      </w:r>
    </w:p>
    <w:p>
      <w:r>
        <w:t>Il diritto di essere sentito è previsto, nella procedura amministrativa federale, agli art. 26-28 PA (diritto di esaminare gli atti), agli art. 29-33 PA (diritto di essere sentito stricto sensu) e, in particolare in materia di assicurazioni sociali, all'art. 42 LPGA (diritto di essere sentito stricto sensu) e, per quanto riguarda la procedura di preavviso, all'art. 57a cpv. 1 LAI.</w:t>
      </w:r>
    </w:p>
    <w:p>
      <w:r>
        <w:rPr>
          <w:b/>
        </w:rPr>
        <w:t>E. 5.3</w:t>
      </w:r>
    </w:p>
    <w:p>
      <w:r>
        <w:t>Detto diritto, così come quello di consultare gli atti (DTF 132 V 387 consid. 5.2) è una garanzia di natura formale, la cui violazione implica, di principio, l'annullamento della decisione resa dall'autorità,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Tale doglianza deve quindi essere esaminata prioritariamente dall'autorità di ricorso (DTF 127 V 431 consid. 3d/aa; 124 I 49 consid. 1). Nella procedura di opposizione (che in materia d'invalidità è stata sostituita dalla procedura d'audizione,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 Ciò deve valere a maggior ragione nel caso in cui l'UAIE, dopo l'emanazione di un progetto di decisione, decide addirittura di ordinare una nuova perizia pluridisciplinare e la pone poi alla base del proprio provvedimento formale. Al riguardo va rilevato che una parte deve, di principio, formulare una domanda per ottenere il diritto di consultare gli atti (art. 8 cpv. 1 LPGA), ciò che in concreto l'assicurato ha fatto (v. consid. C.d della presente sentenza). Ciò presuppone, tuttavia, che essa venga informata se nuovi atti decisivi, che non conosce e nemmeno può conoscere, sono stati versati agli atti (DTF 132 V 387 consid. 6.2).</w:t>
      </w:r>
    </w:p>
    <w:p>
      <w:r>
        <w:rPr>
          <w:b/>
        </w:rPr>
        <w:t>E. 6.1</w:t>
      </w:r>
    </w:p>
    <w:p>
      <w:r>
        <w:t>Quando si riscontra una violazione del diritto di essere sentito, è necessario esaminarne le conseguenze, ossia se la stessa può essere sanata oppure no.</w:t>
      </w:r>
    </w:p>
    <w:p>
      <w:r>
        <w:rPr>
          <w:b/>
        </w:rPr>
        <w:t>E. 6.2</w:t>
      </w:r>
    </w:p>
    <w:p>
      <w:r>
        <w:t>Se un atto è, senza alcun dubbio, un elemento fondamentale per la pronuncia della decisione su opposizione, la mancata trasmissione alla parte interessata,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w:t>
      </w:r>
    </w:p>
    <w:p>
      <w:r>
        <w:rPr>
          <w:b/>
        </w:rPr>
        <w:t>E. 6.3</w:t>
      </w:r>
    </w:p>
    <w:p>
      <w:r>
        <w:t>Nel caso in esame, l'autorità inferiore ha emesso, sulla base della perizia pluridisciplinare del SAM del 24 maggio 2011 e di quanto stabilito dal SMR, un progetto di decisione in data 16 febbraio 2012, con cui ha soppresso la rendita erogata in favore dell'assicurato. Contro questo progetto il ricorrente ha presentato tempestivamente le proprie osservazioni. Interpellato, il SMR ha considerato necessario l'allestimento di una nuova perizia pluridisciplinare, sempre da parte del SAM. Le relative visite mediche sono iniziate il 14 maggio 2012 ed il 30 maggio 2012 l'assicurato, per il tramite del proprio rappresentante, ha chiesto di potere visionare la bozza della perizia pluridisciplinare (una volta redatta) e di poterla discutere in presenza dei propri medici curanti ed i periti del SAM. Con scritto del 18 giugno 2012, l'autorità inferiore ha negato questa possibilità adducendo che la fase istruttoria si sarebbe conclusa con un progetto di decisione e, solo a partire da quel momento, l'interessato avrebbe potuto consultare e, se del caso, contestare gli atti. La seconda perizia pluridisciplinare è stata redatta il 16 luglio 2012 ed il rapporto finale del SMR è datato 3 agosto 2012. Senza ulteriori atti istruttori, segnatamente omettendo di dar seguito a quanto dichiarato all'assicurato, con decisione del 13 novembre 2012, l'UAIE gli ha assegnato tre quarti di rendita d'invalidità.</w:t>
      </w:r>
    </w:p>
    <w:p>
      <w:r>
        <w:rPr>
          <w:b/>
        </w:rPr>
        <w:t>E. 6.4</w:t>
      </w:r>
    </w:p>
    <w:p>
      <w:r>
        <w:t>Dagli atti emerge chiaramente che la decisione impugnata del 13 novembre 2012 è stata pronunciata sulla base delle risultanze della perizia pluridisciplinare del 16 luglio 2012 e del rapporto finale del SMR del 3 agosto 2012, ritenuto che l'UAIE ha assegnato a A._______ tre quarti di rendita, invece di sopprimere del tutto la prestazione come aveva previsto nel progetto di decisione emesso in virtù della prima perizia affidata al SAM. Le conclusioni tratte dal SAM nella seconda perizia, anche se più favorevoli per l'assicurato, si scostano quindi palesemente da quelle contenute nelle prima. Gli atti menzionati vanno pertanto considerati senza dubbio degli elementi, non solo fondamentali, ma addirittura determinanti per l'emanazione della decisione impugnata. Come descritto poc'anzi, l'assicurato ha inoltre espressamente preteso la trasmissione della perizia, conformemente alla giurisprudenza, al fine di visionarla, sottoporla ai propri medici curanti e quindi prendere posizione. La stessa amministrazione ha del resto riconosciuto la rilevanza dell'atto dichiarando espressamente che l'avrebbe trasmessa in occasione dell'emanazione di un nuovo progetto di decisione (DTF 132 V 387 consid. 5.1). In simili condizioni l'autorità inferiore era tenuta a trasmettere la perizia pluridisciplinare del 16 luglio 2012 ed il rapporto del SMR del 3 agosto 2012, dopo il loro allestimento, al ricorrente affinché potesse prendere posizione sulle nuove risultanze ed eventualmente formulare quesiti supplementari (DTF 137 V 250 consid. 3.4.1.5; 133 V 446; 125 V 338 consid. 4c), prima che la stessa rendesse la decisione impugnata, tanto più che il ricorrente aveva esplicitamente e per iscritto richiesto di poter visionare il referto. Non facendolo, l'autorità di prime cure ha violato il diritto di essere sentito di A._______.</w:t>
      </w:r>
    </w:p>
    <w:p>
      <w:r>
        <w:rPr>
          <w:b/>
        </w:rPr>
        <w:t>E. 6.5</w:t>
      </w:r>
    </w:p>
    <w:p>
      <w:r>
        <w:t>Vero è che la citata violazione potrebbe essere sanata, ritenuto che il Tribunale adito dispone di piena cognizione. Nel caso di specie la sanatoria non può tuttavia intervenire, trattandosi di una violazione grave. Essa riguarda, da un lato, come detto, gli unici atti decisivi per l'emanazione della decisione (e contrario DTF 132 V 387 consid. 5.2) e, dall'altro, l'amministrazione ha omesso di trasmetterli all'interessato, malgrado le fosse stato chiesto espressamente e malgrado essa stessa aveva espressamente annunciato che li avrebbe fatti pervenire all'interessato in occasione dell'emanazione del progetto di decisione. L'Ufficio AI non ha tuttavia né trasmesso gli atti né pronunciato il progetto di decisione, contravvenendo da un lato, al divieto di tenere un comportamento contraddittorio (sentenza del TF 8C_528/2013 del 31 gennaio 2014 consid. 2.2) e privando, dall'altro, l'assicurato di una fase procedurale importante. Al riguardo va inoltre rilevato che il Tribunale federale ha già ripetutamente avuto modo di rilevare e criticare tale operato da parte dell'amministrazione (sentenza del TF 9C_ 937/2011 del 9 luglio 2012 consid. 2.3).</w:t>
      </w:r>
    </w:p>
    <w:p>
      <w:r>
        <w:rPr>
          <w:b/>
        </w:rPr>
        <w:t>E. 6.6</w:t>
      </w:r>
    </w:p>
    <w:p>
      <w:r>
        <w:t>A titolo abbondanziale va aggiunto che, con sentenza pubblicata in DTF 137 V 210, il Tribunale federale ha modificato la propria giurisprudenza fissando nuove regole riguardanti l'erezione della perizia in sede amministrativa (in particolare consid 3.4.2.6 e 3.4.2.9). In particolare, in caso di disaccordo tra assicuratore ed assicurato, la perizia deve essere ordinata mediante una decisione incidentale impugnabile al Tribunale cantonale delle assicurazioni rispettivamente al Tribunale amministrativo federale. Con la nuova giurisprudenza, il Tribunale federale ha inoltre rafforzato i diritti di partecipazione preliminari della persona assicurata, per esempio dandole la possibilità di esprimersi preliminarmente sui quesiti da porre ai periti. Alla luce di questa giurisprudenza, a maggior ragione l'autorità inferiore è tenuta a coinvolgere le parti negli accertamenti ed a rispettare i loro diritti procedurali. Non facendolo, la medesima incorre nella violazione del diritto di essere sentito dell'assicurato.</w:t>
      </w:r>
    </w:p>
    <w:p>
      <w:r>
        <w:rPr>
          <w:b/>
        </w:rPr>
        <w:t>E. 7.1</w:t>
      </w:r>
    </w:p>
    <w:p>
      <w:r>
        <w:t>Alla luce dei considerandi precedenti, la decisione impugnata deve essere pertanto annullata senza che sia necessario esaminare se il rinvio degli atti ed il rispetto della garanzia procedurale abbia o meno conseguenze sull'esito della nuova procedura. Poco importa che la perizia pluridisciplinare del 16 luglio 2012 sia in possesso del mandatario del ricorrente da diversi mesi: questa è giunta tardivamente (ovvero dopo l'intimazione della decisione impugnata e pochi giorni prima della decorrenza del termine di ricorso). Poco importa inoltre che la decisione sia più favorevole all'assicurato rispetto a quanto statuito nel progetto di decisione. In effetti, in ogni caso egli viene penalizzato in quanto anche alla luce della seconda perizia la rendita intera a lui assegnata non viene confermata, bensì ridotta a tre quarti. Del resto, il rinvio degli atti nemmeno intacca il diritto della parte ad essere giudicato celermente, in quanto è lo stesso ricorrente a richiedere il ritorno dell'incarto all'autorità di prime cure affinché gli sia assegnato un congruo termine per esaminare e, se del caso, porre dei quesiti complementari ai periti del SAM.</w:t>
      </w:r>
    </w:p>
    <w:p>
      <w:r>
        <w:rPr>
          <w:b/>
        </w:rPr>
        <w:t>E. 7.2</w:t>
      </w:r>
    </w:p>
    <w:p>
      <w:r>
        <w:t>Visto quanto sopra il ricorso deve essere accolto, la decisione impugnata annullata e gli atti rinviati all'UAIE affinché, dopo aver portato a termine la procedura nel rispetto del diritto di essere sentito dell'assicurato - che comprende la possibilità di esprimersi sulla perizia, sulle persone dei periti, così come la facoltà di proporre quesiti complementari (DTF 137 V 250 consid. 3.4.1.5; 125 V 338 consid. 4c) -, statuirà nuovamente sul diritto alla rendita dell'assicurato, in particolare sulla questione se sono dati o meno in concreto i presupposti per procedere alla revisione della rendita.</w:t>
      </w:r>
    </w:p>
    <w:p>
      <w:r>
        <w:rPr>
          <w:b/>
        </w:rPr>
        <w:t>E. 8.1</w:t>
      </w:r>
    </w:p>
    <w:p>
      <w:r>
        <w:t>Visto l'esito della procedura, non sono prelevate delle spese processuali (art. 63 PA).</w:t>
      </w:r>
    </w:p>
    <w:p>
      <w:r>
        <w:rPr>
          <w:b/>
        </w:rPr>
        <w:t>E. 8.2.1</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Secondo la giurisprudenza del Tribunale federale, la parte che ha presentato ricorso in materia d'assegnazione o rifiuto di prestazioni assicurative è reputata vincente, dal profilo delle ripetibili, anche se la causa è rinviata all'amministrazione per complemento istruttorio e nuova decisione (DTF 137 V 57 consid. 2).</w:t>
      </w:r>
    </w:p>
    <w:p>
      <w:r>
        <w:rPr>
          <w:b/>
        </w:rPr>
        <w:t>E. 8.2.2</w:t>
      </w:r>
    </w:p>
    <w:p>
      <w:r>
        <w:t>Secondo giurisprudenza, nell'ambito del suo potere d'apprezzamento, il Tribunale di prima istanza determina l'onorario dell'avvocato in funzione dell'importanza e delle difficoltà della lite nonché dell'ampiezza del lavoro dell'avvocato (cfr. sentenza del Tribunale federale delle assicurazioni I 452/05 del 27 novembre 2006 consid. 5.5).</w:t>
      </w:r>
    </w:p>
    <w:p>
      <w:r>
        <w:rPr>
          <w:b/>
        </w:rPr>
        <w:t>E. 8.2.3</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 di principio e salvo eccezioni - essere ritenute (cfr., per il principio, la sentenza del TF I 452/05 del 27 novembre 2006 consid. 5.6 con rinvii; cfr., per le eccezioni, DTF 112 Ib 353 consid. 3a in fine [possono quindi essere inclusi anche i passi anteriori alla fase processuale quando questi sono necessari per la preparazione della procedura di ricorso]).</w:t>
      </w:r>
    </w:p>
    <w:p>
      <w:r>
        <w:rPr>
          <w:b/>
        </w:rPr>
        <w:t>E. 8.2.4</w:t>
      </w:r>
    </w:p>
    <w:p>
      <w:r>
        <w:t>Nel caso concreto, il ricorrente ha chiesto il riconoscimento dell'importo di fr. 2'582.30 a titolo di spese ripetibili secondo l'allegata nota d'onorario (doc. TAF 11). Conto tenuto delle particolarità del caso concreto, della difficoltà delle questioni in fatto ed in diritto, del lavoro utile e necessario svolto dal mandatario professione e dell'incarto relativamente voluminoso, si giustifica il riconoscimento di quanto richiesto, ad eccezione dell'IVA, considerato che per prestazioni di avvocati fornite a persone domiciliate all'estero questa non è dovuta (v.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 In conclusione, sulla base della nota d'onorario "moderata" in questa sede, le spese ripetibili a favore del ricorrente sono fissate in fr. 2'391.- (fr. 2'582.30 - fr. 191.30).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