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C-6295/2009 vom 11. Februar 2011</w:t>
      </w:r>
    </w:p>
    <w:p>
      <w:r>
        <w:t>Bundesverwaltungsgericht, 2011-02-11, FR</w:t>
      </w:r>
    </w:p>
    <w:p>
      <w:r>
        <w:rPr>
          <w:b/>
        </w:rPr>
        <w:t xml:space="preserve">Quelle: </w:t>
      </w:r>
      <w:r>
        <w:t>https://mcp.opencaselaw.ch/entscheid/bvger_C-6295_2009</w:t>
      </w:r>
    </w:p>
    <w:p>
      <w:r>
        <w:t>FR: TAF C-6295/2009 du 11 février 2011</w:t>
      </w:r>
    </w:p>
    <w:p>
      <w:r>
        <w:t>IT: TAF C-6295/2009 del 11 febbraio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Selon l'art. 2 LPGA, les dispositions de ladite loi sont applicables aux assurances sociales régies par la législation fédérale si et dans la mesure où les lois spéciales sur les assurances sociales le prévoient.</w:t>
      </w:r>
    </w:p>
    <w:p>
      <w:r>
        <w:rPr>
          <w:b/>
        </w:rPr>
        <w:t>E. 4.2</w:t>
      </w:r>
    </w:p>
    <w:p>
      <w:r>
        <w:t>L'examen du droit à des prestations AI est régi par la teneur de la LAI au moment de la décision entreprise, eu égard au principe selon lequel les règles applicables sont celles en vigueur au moment où les faits juridiquement déterminants se sont produits (ATF 130 V 445 consid. 1.2). Les disposition de la 5ème révision de la LAI entrées en vigueur le 1er janvier 2008 (RO 2007 5129) sont donc applicables à la présente cause.</w:t>
      </w:r>
    </w:p>
    <w:p>
      <w:r>
        <w:rPr>
          <w:b/>
        </w:rPr>
        <w:t>E. 5</w:t>
      </w:r>
    </w:p>
    <w:p>
      <w:r>
        <w:t>Tout requérant doit remplir cumulativement les conditions suivantes pour avoir droit à une rente de l'assurance invalidité suisse: - être invalide au sens de la LPGA/LAI et - compter trois années de cotisation (art. 36 LAI), dont au moins une en Suisse, auprès d'une assurance sociale assimilée d'un Etat membre de l'Union européenne (UE) ou de l'Association européenne de libre échange (AELE) (FF 2005 p. 4291; art. 45 du règlement 1408/71). En l'occurrence, le recourant remplit la condition liée à la durée minimale de cotisations. Il reste dès lors à examiner si l'intéressé peut être qualifié d'invalide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w:t>
      </w:r>
    </w:p>
    <w:p>
      <w:r>
        <w:rPr>
          <w:b/>
        </w:rPr>
        <w:t>E. 6.2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w:t>
      </w:r>
    </w:p>
    <w:p>
      <w:r>
        <w:t>X._______ a présenté une demande de prestations AI le 30 août 2008, aux motifs qu'il souffrait essentiellement d'affections dégénératives d'origines rhumatismales (cervicalgies, lombalgies, tendopathie, chondropathie, épicondylite). Une expertise indépendante ordonnée par le Conseil arbitral des assurances sociales a jugé qu'il avait subi une perte de capacité de travail et de gain telle qu'il n'était plus capable d'exercer son métier de cuisinier, ni une autre activité correspondant à ses forces et aptitudes, ce qui avait amené la sécurité sociale luxembourgeoise à lui reconnaître le droit à l'invalidité. Il a implicitement sollicité l'octroi d'une rente entière de la part des autorités helvétiques.L'OAIE a, de son côté, soutenu que le recourant était, en dépit de ses problèmes de santé, encore en mesure d'exercer à plein temps son ancienne activité professionnelle, de sorte qu'il ne pouvait se prévaloir d'une perte de gain suffisante pour ouvrir le droit à une rente AI.</w:t>
      </w:r>
    </w:p>
    <w:p>
      <w:r>
        <w:rPr>
          <w:b/>
        </w:rPr>
        <w:t>E. 10</w:t>
      </w:r>
    </w:p>
    <w:p>
      <w:r>
        <w:t>A titre liminaire, il sied de rappeler au recourant que la Suisse n'appartient pas à l'UE et que, dès lors, seuls l'ALCP et le règlement du 14 juin 1971 (CEE) N° 1408/71 du Conseil sont susceptibles de trouver application. Le degré d'invalidité d'un assuré qui prétend à une rente de l'assurance-invalidité suisse est ainsi déterminé exclusivement d'après le droit suisse (cf. supra consid. 4.2). Les décisions prises par l'EAVI ou le Conseil arbitral des assurances sociales luxembourgeois ne lient donc pas les autorités suisses (ATF 130 V 253 consid. 2.4, arrêt du Tribunal fédéral I 435/02 du 4 février 2003 consid. 2).</w:t>
      </w:r>
    </w:p>
    <w:p>
      <w:r>
        <w:rPr>
          <w:b/>
        </w:rPr>
        <w:t>E. 11.1</w:t>
      </w:r>
    </w:p>
    <w:p>
      <w:r>
        <w:t>En l'espèce, le Tribunal constate que si le diagnostic retenu par les médecins qui ont examiné X._______ est relativement similaire, des divergences importantes sont apparues entre les différents intervenants au moment d'évaluer les incidences des affections du recourant sur sa capacité de travail et de gain. Le Dr B._______, médecin conseil de l'EAVI, qui a ausculté le recourant le 24 avril 2008, a observé une polyarthralgie sans déficit fonctionnel majeur car ne dépassant pas les normes pour son âge, une gonarthrose débutante, une cervicarthrose et une lombarthrose interfacettaire. Il a également diagnostiqué une dépression réactionnelle due à la situation de l'emploi du recourant, lequel était au chômage depuis près de deux ans et ne parvenait plus à suivre la cadence rapide imposée par son travail de cuisinier (AI pce 15). Il a notamment observé au cours des examens que l'intéressé ne présentait pas d'oedèmes des membres inférieurs, que la mobilité au niveau des hanches, coudes, poignets et mains n'était pas entravée, pas plus que la mobilité des épaules (bien qu'un signe de Jobe à gauche ait été relevé), qu'il n'existait pas d'anomalies statiques rachidiennes majeures, pas de contractures de la colonne cervicale mais des contractures des muscles paravertébraux lombaires droites. Il a en outre noté des discopathie C5-C6-C7 (avec uncarthrose et ostéophytose) concomitantes et une ostéopénie lombaire.Le Dr B._______ a estimé que le recourant n'était pas invalide, et qu'il pouvait exercer une autre activité à hauteur de 80%. Le Dr F._______ (OAIE) a globalement suivi l'avis de son confrère, mentionnant qu'aucun déficit fonctionnel n'avait été retenu. Pour lui, l'incapacité de travail de l'intéressé était de 0% dans sa profession actuelle comme dans un travail de substitution (AI pce 29).</w:t>
      </w:r>
    </w:p>
    <w:p>
      <w:r>
        <w:rPr>
          <w:b/>
        </w:rPr>
        <w:t>E. 11.2</w:t>
      </w:r>
    </w:p>
    <w:p>
      <w:r>
        <w:t>Le Dr A._______, rhumatologue chez qui le recourant est en traitement depuis 2001, a émis un avis diamétralement opposé. Sans reprendre exhaustivement le diagnostic complet énoncé le 5 janvier 2009 (cf. AI pce 32), le Dr A._______ a noté le caractère rebelle de l'ensemble des douleurs du recourant, en dépit des traitements entrepris, que ce soit au moyen d'antalgiques simples, AINS, masso-kinésithérapies, cures thermales, école du dos. Il a conclu que l'état de santé rendait X._______ incapable de pratiquer son ancienne activité professionnelle de cuisinier diplômé et maître-traiteur tout comme toute autre activité. Il est vraisemblable qu'en tant que médecin traitant, le Dr A._______ soit enclin, en cas de doutes, à prendre parti pour son patient en raison de la relation de confiance qui le lie à lui (ATF 125 V 335 consid. 3b/cc et les références citées; Ulrich Meyer-Blaser, Bundesgesetz über Invalidenversicherung, in: Rechtssprechung des Bundesgerichts zum Sozialversicherungsrecht, Zurich 1997, p. 230). Il n'en demeure pas moins qu'en qualité de spécialiste des questions rhumatismales, son avis ne saurait être écarté sans investigations complémentaires, d'autant que certaines de ses observations, telles que l'épicondylite et les crampes de mains récidivantes ou la chronicisation des cervicalgies et dorsolombalgies, vont au-delà des constations du Dr B._______.</w:t>
      </w:r>
    </w:p>
    <w:p>
      <w:r>
        <w:rPr>
          <w:b/>
        </w:rPr>
        <w:t>E. 11.3</w:t>
      </w:r>
    </w:p>
    <w:p>
      <w:r>
        <w:t>Conscient de ces profonds désaccords, le Conseil arbitral des assurances sociales luxembourgeois a mandaté le Dr G._______, médecin-conseil spécialiste en médecine interne, pour effectuer une expertise.Le Dr G._______ a livré son analyse dans un rapport du 2 septembre 2009. Sur 12 pages, le Dr G._______ a détaillé les certificats médicaux sur lesquels il s'était appuyé (principalement ceux des Dr A._______ et B._______), a fourni une anamnèse et listé l'ensemble des investigations cliniques pratiquées. Au terme de l'examen, le Dr G._______ a livré un diagnostic différencié, qui rejoint l'avis du Dr A._______, à savoir que le recourant souffre d'affections dégénératives de la colonne vertébrale, d'arthrose rétropatellaire des genoux, de tendopathie de la coiffe des rotateurs des épaules, d'épicondylite, d'insuffisance veineuse chronique et d'ostéopénie. Il a présenté, pour chacune des maladies citées, une argumentation spécifique propre à justifier sa position. Finalement, le Dr G._______ est arrivé à la conclusion que le recourant souffrait d'affections dégénératives et de maladies qui limitaient considérablement son champ d'activité comme sa capacité à exercer une activité professionnelle, raison pour laquelle il devait être reconnu comme invalide depuis le 30 janvier 2008.</w:t>
      </w:r>
    </w:p>
    <w:p>
      <w:r>
        <w:rPr>
          <w:b/>
        </w:rPr>
        <w:t>E. 11.4</w:t>
      </w:r>
    </w:p>
    <w:p>
      <w:r>
        <w:t>Le service médical de l'OAIE a émis quelques réserves concernant ce document. L'expertise du Dr G._______ apparaît néanmoins comme la pièce médicale la plus complète qui ait été versée au dossier. Elle repose sur une étude circonstanciée, délivrée par un médecin-conseil sur requête de la justice luxembourgeoise et de ce fait, remplit a priori les conditions jurisprudentielles liées à l'établissement d'un tel document.Certes, le Dr F._______ souligne que le Dr G._______ semble avoir accordé trop de poids aux affections dégénératives ostéo-articulaires du recourant. Il lui reproche également d'avoir pris en compte l'âge de l'assuré dans ses conclusions. Pour autant, ces quelques éléments ne sauraient, à eux seuls, mettre à néant les résultats auxquels l'expert a abouti. D'une part, le Dr G._______ a observé à réitérées reprises que X._______ était atteint d'une arthrose avancée qui limitait sa mobilité et causait des douleurs chroniques, que ce soit au niveau de la colonne, des épaules, des genoux ou du coude droit. Il a aussi indiqué que ces douleurs étaient incompatibles avec la poursuite de sa profession de cuisinier, et vu l'absence d'améliorations prévisibles, ne lui permettait pas d'exercer une activité professionnelle avec une régularité ou un rendement suffisant. D'autre part, si l'âge du recourant n'est pas un facteur déterminant pour évaluer une incapacité de travail, la remarque du Dr G._______ doit plutôt être comprise comme la volonté de mettre en évidence les nombreuses usures provoquées par l'âge et les contraintes d'une carrière de travail substantielle, ainsi que l'a justement exposé le Conseil arbitral des assurances sociales (cf. TAF pce 9, annexe décision du 23 octobre 2009 p. 4).</w:t>
      </w:r>
    </w:p>
    <w:p>
      <w:r>
        <w:rPr>
          <w:b/>
        </w:rPr>
        <w:t>E. 11.5</w:t>
      </w:r>
    </w:p>
    <w:p>
      <w:r>
        <w:t>Aussi, en l'état du dossier, les objections du médecin-conseil de l'OAIE, lequel n'est pas non plus un spécialiste des questions rhumatismales, ne saurait emporter la conviction du Tribunal ni invalider, dans leur ensemble, les conclusions de l'expertise du Dr G._______.Partant, dans la mesure où l'OAIE n'entend pas s'aligner sur les résultats de cet expert, il lui appartient d'ordonner des examens complémentaires à même de déterminer si X._______ est encore apte (ou non) à exercer son travail de cuisinier, voire une activité adaptée respectant certaines limitations fonctionnelles liées à une arthrose avancée associées à une insuffisance veineuse et une ostéopénie. Faute de disposer d'une évaluation suffisante, l'hypothèse d'une invalidité partielle ou totale, développée par les Dr A._______ et G._______, ne saurait être d'emblée exclue.</w:t>
      </w:r>
    </w:p>
    <w:p>
      <w:r>
        <w:rPr>
          <w:b/>
        </w:rPr>
        <w:t>E. 12</w:t>
      </w:r>
    </w:p>
    <w:p>
      <w:r>
        <w:t>Par voie de conséquence, le recours est admis en ce sens que la décision attaquée est annulée et la cause renvoyée à l'OAIE, afin que celui-ci prenne une nouvelle décision, après instruction complémentaire (art. 61 PA). A cet effet, l'OAIE procédera à une nouvelle pondération du cas après l'avoir soumis, pour deuxième avis, à un médecin-conseil spécialisé dans les questions rhumatismales; cas échéant il ordonnera une expertise rhumatologique.</w:t>
      </w:r>
    </w:p>
    <w:p>
      <w:r>
        <w:rPr>
          <w:b/>
        </w:rPr>
        <w:t>E. 13</w:t>
      </w:r>
    </w:p>
    <w:p>
      <w:r>
        <w:t>Selon la jurisprudence, la partie qui a formé recours est réputée avoir obtenu gain de cause lorsque l'affaire est renvoyée à l'administration pour instruction complémentaire et nouvelle décision (ATF 132 V 215 consid. 6.2).Il n'est pas perçu de frais de procédure (art. 63 al. 2 PA, applicable par renvoi de l'art. 37 LTAF). L'avance de frais de Fr. 400.--, versée par X._______ les 1er février et 22 avril 2010, lui sera remboursée dès l'entrée en force du présent arrêt. L'art. 7 al. 1er du règlement du 21 février 2008 concernant les frais, dépens et indemnités fixés par le Tribunal administratif fédéral (FITAF, RS 173.320.2) permet au Tribunal d'allouer à la partie ayant obtenu gain de cause une indemnité pour les frais nécessaires causés par le litige. En l'espèce, le recourant, qui n'est pas représenté, n'a pas fait valoir de frais indispensables et relativement élevés, de sorte qu'il ne lui est pas attribué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