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C-6291/2014 vom 15. November 2016</w:t>
      </w:r>
    </w:p>
    <w:p>
      <w:r>
        <w:t>Bundesverwaltungsgericht, 2016-11-15, DE</w:t>
      </w:r>
    </w:p>
    <w:p>
      <w:r>
        <w:rPr>
          <w:b/>
        </w:rPr>
        <w:t xml:space="preserve">Quelle: </w:t>
      </w:r>
      <w:r>
        <w:t>https://mcp.opencaselaw.ch/entscheid/bvger_C-6291_2014</w:t>
      </w:r>
    </w:p>
    <w:p>
      <w:r>
        <w:t>FR: TAF C-6291/2014 du 15 novembre 2016</w:t>
      </w:r>
    </w:p>
    <w:p>
      <w:r>
        <w:t>IT: TAF C-6291/2014 del 15 novembre 2016</w:t>
      </w:r>
    </w:p>
    <w:p>
      <w:pPr>
        <w:pStyle w:val="Heading2"/>
      </w:pPr>
      <w:r>
        <w:t>Regeste</w:t>
      </w:r>
    </w:p>
    <w:p>
      <w:r>
        <w:t>Rentenanspruch</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Als direkter Adressat ist der Beschwerdeführer von der angefochtenen Verfügung berührt und er kann sich auf ein schutzwürdiges Interesse an deren Aufhebung oder Änderung berufen (vgl. Art. 59 ATSG, Art. 48 Abs. 1 VwVG). Auf die frist- und formgerecht eingereichte Beschwerde (vgl. Art. 38 ff. und Art. 60 ATSG, Art. 52 Abs. 1 VwVG) ist einzutreten.</w:t>
      </w:r>
    </w:p>
    <w:p>
      <w:r>
        <w:rPr>
          <w:b/>
        </w:rPr>
        <w:t>E. 2</w:t>
      </w:r>
    </w:p>
    <w:p>
      <w:r>
        <w:t>Zunächst sind die für die Beurteilung massgebenden gesetzlichen Bestimmungen und die von der Rechtsprechung entwickelten Grundsätze darzulegen.</w:t>
      </w:r>
    </w:p>
    <w:p>
      <w:r>
        <w:rPr>
          <w:b/>
        </w:rPr>
        <w:t>E. 2.1</w:t>
      </w:r>
    </w:p>
    <w:p>
      <w:r>
        <w:t>In zeitlicher Hinsicht sind - vorbehältlich besonderer übergangsrecht­licher Regelungen - grundsätzlich diejenigen materiellen Rechtssätze mass­gebend, die bei der Erfüllung des rechtlich zu ordnenden oder zu Rechtsfolgen führenden Tatbestandes Geltung haben (Urteil BGer 8C_419/2009 vom 3. November 2009 E. 3.1; BGE 132 V 215 E. 3.1.1). Weiter haben die Sozialversicherungsgerichte nach ständiger Recht­sprechung die Gesetzmässigkeit der Verwaltungsverfügungen in der Regel nach dem Sachverhalt zu beurteilen, der zur Zeit des Verfügungserlasses gegeben war. Tatsachen, die jenen Sachverhalt seither verändert haben, sollen im Normalfall Gegenstand einer neuen Verwaltungsverfügung sein (BGE 121 V 362 E. 1b; Urteil BGer 9C_540/2015 vom 15. Oktober 2015 E. 3.1).</w:t>
      </w:r>
    </w:p>
    <w:p>
      <w:r>
        <w:rPr>
          <w:b/>
        </w:rPr>
        <w:t>E. 2.2</w:t>
      </w:r>
    </w:p>
    <w:p>
      <w:r>
        <w:t>Der Beschwerdeführer ist österreichischer Staatsangehöriger und wohnt in Österreich, weshalb das am 1. Juni 2002 in Kraft getretene Abkommen vom 21. Juni 1999 zwischen der Schweizerischen Eidgenossenschaft einerseits und der Europäischen Gemeinschaft und ihrer Mitgliedsstaaten andererseits über die Freizügigkeit (FZA, SR 0.142.112.681) zu beachten ist. Vorliegend sind die am 1. April 2012 in Kraft getretenen Verordnungen (EG) Nr. 883/2004 des Europäischen Parlaments und des Rates vom 29. April 2004 zur Koordinierung der Systeme der sozialen Sicherheit (SR 0.831.109.268.1; nachfolgend: VO 883/2004) sowie (EG) Nr. 987/2009 des Europäischen Parlaments und des Rates vom 16. September 2009 zur Festlegung der Modalitäten für die Durchführung der Verordnung (EG) Nr. 883/2004 über die Koordinierung der Systeme der sozialen Sicherheit (SR 0.831.109.268.11; nachfolgend: VO 987/2009) anwendbar (vgl. zum intertemporalrechtlichen Aspekt: BGE 139 V 297 E. 2.1; 130 V 445 E. 1.2.1). Gemäss Art. 4 VO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VO Nr. 883/2004). Die Bestimmung des anwendbaren Rechts ergibt sich aus Art. 11 ff. VO 883/2004. Die Beurteilung der Invalidität und die Berechnung der Rentenhöhe richten sich auch nach dem Inkrafttreten des FZA nach schweizerischem Recht (BGE 130 V 253 E. 2.4; Urteil BGer 9C_573/2012 vom 16. Januar 2013 E. 4 m.w.H.; Basile Cardinaux, § 7 Beweiserhebung im Ausland, in: Recht der Sozialen Sicherheit, 2014, S. 281 Rz. 7.23).</w:t>
      </w:r>
    </w:p>
    <w:p>
      <w:r>
        <w:rPr>
          <w:b/>
        </w:rPr>
        <w:t>E. 2.3</w:t>
      </w:r>
    </w:p>
    <w:p>
      <w:r>
        <w:t>Invalidität ist die voraussichtlich bleibende oder längere Zeit dauernde ganze oder teilweise Erwerbsunfähigkeit (Art. 8 Abs. 1 ATSG). Die Invalidität kann Folge von Geburtsgebrechen, Krankheit oder Unfall sein (Art. 4 Abs. 1 IVG). Volljährige, die vor der Beeinträchtigung ihrer körperlichen, geistigen oder psychischen Gesundheit nicht erwerbstätig waren und denen eine Erwerbstätigkeit nicht zugemutet werden kann, gelten gemäss Art. 8 Abs. 3 ATSG als invalid, wenn eine Unmöglichkeit vorliegt, sich im bisherigen Aufgabenbereich zu betätigen.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2.4</w:t>
      </w:r>
    </w:p>
    <w:p>
      <w:r>
        <w:t>Ob eine versicherte Person als ganztägig oder zeitweilig erwerbstätig oder als nichterwerbstätig einzustufen ist (Statusfrage), was je zur Anwendung einer anderen Methode der Invaliditätsbemessung führt, ergibt sich aus der Prüfung, was die Person bei im Übrigen unveränderten Umständen täte, wenn keine gesundheitliche Beeinträchtigung bestünde. Entscheidend ist nach der Rechtsprechung nicht, welches Ausmass der Erwerbstätigkeit der versicherten Person im Gesundheitsfall zugemutet werden könnte, sondern in welchem Pensum sie hypothetisch erwerbstätig wäre.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141 V 15 E. 3.1 m.w.H.; Urteil BGer 9C_645/2015 vom 3. Februar 2016 E. 2.3).</w:t>
      </w:r>
    </w:p>
    <w:p>
      <w:r>
        <w:rPr>
          <w:b/>
        </w:rPr>
        <w:t>E. 2.4.1</w:t>
      </w:r>
    </w:p>
    <w:p>
      <w:r>
        <w:t>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allgemeine Methode des Einkommensvergleichs).</w:t>
      </w:r>
    </w:p>
    <w:p>
      <w:r>
        <w:rPr>
          <w:b/>
        </w:rPr>
        <w:t>E. 2.4.2</w:t>
      </w:r>
    </w:p>
    <w:p>
      <w:r>
        <w:t>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(Betätigungsvergleich; Art. 28a Abs. 2 IVG). Art. 27 IVV (SR 831.201) definiert den Aufgabenbereich der im Haushalt tätigen Versicherten beziehungsweise der Angehörigen einer klösterlichen Gemeinschaft.</w:t>
      </w:r>
    </w:p>
    <w:p>
      <w:r>
        <w:rPr>
          <w:b/>
        </w:rPr>
        <w:t>E. 2.4.3</w:t>
      </w:r>
    </w:p>
    <w:p>
      <w:r>
        <w:t>Gemäss 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vgl. jedoch Urteil des Europäischen Gerichtshofs für Menschenrechte [EGMR] in Sachen Di Trizio gegen die Schweiz vom 2. Februar 2016 [7186/09], wonach die Anwendung der gemischten Methode zu einer Verletzung des Art. 14 i.V.m. Art. 8 EMRK führt).</w:t>
      </w:r>
    </w:p>
    <w:p>
      <w:r>
        <w:rPr>
          <w:b/>
        </w:rPr>
        <w:t>E. 2.5</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3</w:t>
      </w:r>
    </w:p>
    <w:p>
      <w:r>
        <w:t>Streitig und nachfolgend zu beurteilen ist, ob der Beschwerdeführer Anspruch auf eine IV-Rente hat.</w:t>
      </w:r>
    </w:p>
    <w:p>
      <w:r>
        <w:rPr>
          <w:b/>
        </w:rPr>
        <w:t>E. 3.1</w:t>
      </w:r>
    </w:p>
    <w:p>
      <w:r>
        <w:t>Der Beschwerdeführer hat mehrfach bestätigt, dass er seit (spätestens) 2006 keine beziehungsweise höchstens noch eine geringfügige Erwerbstätigkeit (von wöchentlich vier oder fünf Stunden) ausgeübt hat (IV-act. 14 und 47). Weiter gab er an, dass er auch ohne Einschränkung der Gesundheit keiner Erwerbstätigkeit nachgehen würde (IV-act. 27). Auch sei er nicht im Haushalt (Aufgabenbereich) tätig (act. 27 S. 3 i.V.m. S. 9). Die Angaben betreffend Erwerbstätigkeit stehen weitgehend im Einklang mit den vom österreichischen Versicherungsträger bescheinigten Versicherungszeiten (vgl. IV-act. 3 [hier werden für Oktober 2009 bis Februar 2010 weitere fünf Monate als Versicherungszeiten aufgeführt]). Der Antrag auf eine Invaliditätspension wurde vom österreichischen Träger mit der Begründung abgewiesen, es lägen - selbst unter Berücksichtigung der schweizerischen Versicherungszeiten - nicht genügend Beitragszeiten vor (Bescheid vom 11. Oktober 2013 [IV-act. 4]). Gesundheitliche Probleme sind erst seit dem Jahr 2013 dokumentiert (vgl. IV-act. 12 und 16 ff.).</w:t>
      </w:r>
    </w:p>
    <w:p>
      <w:r>
        <w:rPr>
          <w:b/>
        </w:rPr>
        <w:t>E. 3.2</w:t>
      </w:r>
    </w:p>
    <w:p>
      <w:r>
        <w:t>Die Rente der Invalidenversicherung ist grundsätzlich eine Erwerbs­ausfall-Versicherungsleistung. Versichert ist nicht der Gesundheitsschaden an sich, sondern der durch den Gesundheitsschaden verursachte Verlust der Erwerbsmöglichkeit (BGE 135 V 58 E. 3.4.1 mit Hinweis auf Art. 1a Bst. b IVG, Art. 7 Abs. 1 und Art. 8 Abs. 1 ATSG). Umgekehrt deckt die Invalidenversicherung nur diejenigen Erwerbsverluste ab, die durch Gesundheitsbeeinträchtigungen verursacht sind, nicht Einbussen, die auf andere Gründe (z.B. wirtschaftliche, persönliche usw.) zurückzuführen sind (BGE 135 V 58 E. 3.4.1).</w:t>
      </w:r>
    </w:p>
    <w:p>
      <w:r>
        <w:rPr>
          <w:b/>
        </w:rPr>
        <w:t>E. 3.3</w:t>
      </w:r>
    </w:p>
    <w:p>
      <w:r>
        <w:t>Die Vorinstanz hat - zumindest zunächst - angenommen (vgl. IV-act. 28), der Beschwerdeführer sei teilweise erwerbstätig und überdies im Aufgabenbereich (Haushalt) tätig. Der Beschwerdeführer lebt jedoch in einer karitativen Einrichtung für Obdachlose und führt keinen Haushalt. Nach der Rechtsprechung ist selbst bei teilzeitlich erwerbstätigen Personen mit eigenem Haushalt nicht in jedem Fall anzunehmen, es liege auch ein Aufgabenbereich vor (vgl. Urteil BGer 8C_846/2015 vom 3. Juni 2016 E. 5.2). Da hier zweifellos kein Aufgabenbereich vorliegt, käme die gemischte Methode selbst dann nicht zur Anwendung, wenn diese EMRK-konform (vgl. E. 2.4.3) wäre.</w:t>
      </w:r>
    </w:p>
    <w:p>
      <w:r>
        <w:rPr>
          <w:b/>
        </w:rPr>
        <w:t>E. 3.4</w:t>
      </w:r>
    </w:p>
    <w:p>
      <w:r>
        <w:t>Entsprechend der Zielsetzung der Invalidenversicherung, die wirtschaftlichen Folgen der Invalidität zu mildern (BGE 142 V 290 E. 7.1 mit Hinweisen), ist das versicherte Risiko in der Invalidenversicherung die Erwerbsinvalidität, die von der effektiven, gesundheitlich bedingten Erwerbseinbusse abhängt. Eine versicherte Person, welche im Gesundheitsfall ihr wirtschaftliches Potential nicht voll ausnützt, indem sie zwar in der Lage wäre, voll erwerbstätig zu sein, sich aber für eine Teilzeitstelle entscheidet, um mehr Freizeit zu haben, begnügt sich mit einem Teilzeitlohn und verzichtet damit freiwillig auf einen Teil des Lohnes, den sie erzielen könnte, wenn sie vollerwerbstätig wäre. Dass ihr Erwerbseinkommen vermindert ist, stellt die Folge ihrer Wahl dar. Der nicht verwertete Teil ihrer Erwerbsfähigkeit ist damit nicht versichert (BGE 142 V 290 E. 7.1 mit Hinweisen). Gemäss dem zitierten Urteil des Bundesgerichts ergibt sich aus diesen Überlegungen, dass eine teilerwerbstätige versicherte Person ohne Aufgabenbereich eine gesundheitlich bedingte Erwerbseinbusse lediglich im Rahmen des versicherten Bereiches, welcher dem (hypothetischen) Beschäftigungsgrad entspricht, erleidet und deshalb auch nur in diesem Umfang ein Ausgleich stattfinden kann (BGE 142 V 290 E. 7.1; 8C_846/2015 E. 6.2). Bei teilerwerbstätigen Versicherten ohne Aufgabenbereich ist somit die anhand der Einkommensvergleichsmethode (Art. 16 ATSG) zu ermittelnde Einschränkung im allein versicherten erwerblichen Bereich proportional - im Umfang der hypothetischen Teilerwerbstätigkeit - zu berücksichtigen. Der Invaliditätsgrad entspricht der proportionalen Einschränkung im erwerblichen Bereich und kann damit den versicherten Bereich, welcher durch das hypothetische Teilzeitpensum definiert wird, nicht übersteigen (BGE 142 V 290 E. 7.3).</w:t>
      </w:r>
    </w:p>
    <w:p>
      <w:r>
        <w:rPr>
          <w:b/>
        </w:rPr>
        <w:t>E. 3.5</w:t>
      </w:r>
    </w:p>
    <w:p>
      <w:r>
        <w:t>Da der Beschwerdeführer auch ohne gesundheitliche Einschränkun­gen keine (oder höchstens eine sehr geringfügige) Erwerbstätigkeit aus­üben würde, könnte nach der dargelegten Rechtsprechung selbst bei voll­ständigem Wegfallen des funktionellen Leistungsvermögens keine renten­anspruchsbegründende Invalidität entstehen. Auch wenn er weiterhin eine Teilerwerbstätigkeit von 10 bis 15% ausüben würde, könnte er höchstens in diesem Umfang invalid sein. Ob der medizinische Sachverhalt hinrei­chend abgeklärt wurde, muss deshalb nicht geprüft werden (antizipierte Beweiswürdigung; BGE 134 I 140 E. 5.3; 124 V 90 E. 4b).</w:t>
      </w:r>
    </w:p>
    <w:p>
      <w:r>
        <w:rPr>
          <w:b/>
        </w:rPr>
        <w:t>E. 3.6</w:t>
      </w:r>
    </w:p>
    <w:p>
      <w:r>
        <w:t>Demnach hat die Vorinstanz den Rentenanspruch im Ergebnis zu Recht verneint, was zur Abweisung der Beschwerde führt.</w:t>
      </w:r>
    </w:p>
    <w:p>
      <w:r>
        <w:rPr>
          <w:b/>
        </w:rPr>
        <w:t>E. 4.1</w:t>
      </w:r>
    </w:p>
    <w:p>
      <w:r>
        <w:t>Gemäss Art. 69 Abs. 1bis in Verbindung mit Art. 69 Abs. 2 IVG ist das Beschwerdeverfahren bei Streitigkeiten um die Bewilligung oder Verweigerung von IV-Leistungen vor dem Bundesverwaltungsgericht kostenpflichtig. Die Verfahrenskosten werden grundsätzlich der unterliegenden Partei auferlegt (Art. 63 Abs. 1 VwVG). Zufolge Gewährung der unentgeltlichen Rechtspflege (vgl. Sachverhalt Bst. D bzw. act. 17) ist indessen auf die Erhebung von Verfahrenskosten zu verzichten.</w:t>
      </w:r>
    </w:p>
    <w:p>
      <w:r>
        <w:rPr>
          <w:b/>
        </w:rPr>
        <w:t>E. 4.2</w:t>
      </w:r>
    </w:p>
    <w:p>
      <w:r>
        <w:t>Eine Parteientschädigung ist bei diesem Verfahrensausgang nicht zuzusprechen (vgl. Art. 64 Abs. 1 VwVG in Verbindung mit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