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C-628/2010 vom 4. Februar 2011</w:t>
      </w:r>
    </w:p>
    <w:p>
      <w:r>
        <w:t>Bundesverwaltungsgericht, 2011-02-04, IT</w:t>
      </w:r>
    </w:p>
    <w:p>
      <w:r>
        <w:rPr>
          <w:b/>
        </w:rPr>
        <w:t xml:space="preserve">Quelle: </w:t>
      </w:r>
      <w:r>
        <w:t>https://mcp.opencaselaw.ch/entscheid/bvger_C-628_2010</w:t>
      </w:r>
    </w:p>
    <w:p>
      <w:r>
        <w:t>FR: TAF C-628/2010 du 4 février 2011</w:t>
      </w:r>
    </w:p>
    <w:p>
      <w:r>
        <w:t>IT: TAF C-628/2010 del 4 febbraio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ritenuto tuttavia il principio secondo il quale le norme applicabili sono quelle in vigore al momento in cui dei fatti giuridicamente rilevanti si sono verificati (DTF 130 V 445 consid. 1.2).</w:t>
      </w:r>
    </w:p>
    <w:p>
      <w:r>
        <w:rPr>
          <w:b/>
        </w:rPr>
        <w:t>E. 4</w:t>
      </w:r>
    </w:p>
    <w:p>
      <w:r>
        <w:t>Il ricorrente contesta la validità materiale della decisione dell'UAIE, chiedendo che gli sia riconosciuto il diritto ad una rendita intera d'invalidità o, a titolo sussidiario, di grado inferiore.</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secondo le sue stesse indicazioni (doc. 11 a 13), la sua attività d'indipendente nell'edilizia a fine dicembre 2004 e, da allora, non ha più ripreso alcuna attività lucrativa, per cui occorre fondarsi sui documenti medici al fine di valutare la sua capacità lavorativa.</w:t>
      </w:r>
    </w:p>
    <w:p>
      <w:r>
        <w:rPr>
          <w:b/>
        </w:rPr>
        <w:t>E. 8.2</w:t>
      </w:r>
    </w:p>
    <w:p>
      <w:r>
        <w:t>Ora, dalla documentazione medica all'incarto e, essenzialmente, dalla perizia medica particolareggiata E 213 del dott. B:_______, medico dell'INPS, dell'8 giugno 2009 (doc. 18), e dalla presa di posizione del dott. C._______, medico dell'UAIE, del 1° ottobre 2009 (doc. 20), si evince la diagnosi di esiti da microdiscectomia per ernie discali in L5/S1 a sinistra (1990) e L3/4 a destra (2006), di diabete mellito di tipo II e di sindrome ansioso depressiva. Questa diagnosi è univoca agli atti e non contestata dal ricorrente, per cui il collegio giudicante non può che adottarla.</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9.1</w:t>
      </w:r>
    </w:p>
    <w:p>
      <w:r>
        <w:t>Rispetto all'influenza delle affezioni diagnosticate sulla capacità lavorativa, il dott. B:_______ ha evidenziato, nella perizia E 213, che il ricorrente presenta un rachide spinalgico in sede cervicale ed una moderata contrattura lombare, con una motilità in flessione ridotta di un terzo, come pure dei dolori all'articolazione scapolo-omerale sinistra, una gonalgia a scarsa incidenza funzionale, un segno di Lasègue positivo ai gradi medio estremi destri, dei movimenti (forza e tono muscolare) e un'andatura normali, nonché una manovra di Romberg negativa. Sulla base di queste risultanze, il medico dell'INPS ha cionondimeno fissato un grado d'invalidità del 60% per l'ultima attività svolta e per attività leggere sedentarie, con un'esigibilità di sole tre ore al giorno. Dal canto suo, il dott. C._______ ha rilevato che le risultanze dell'esame obiettivo del ricorrente, così come esposte nella perizia E 213, sono completamente normali, in particolare per quanto riguarda il rachide e lo stato neurologico, che la limitazione di un terzo della flessione della colonna vertebrale non impedisce un'attività in qualità di muratore, un'adeguata terapia antidolorifica e antireumatica essendo applicabile, e che, considerati gli atti, non può essere ammessa l'esistenza di un'affezione psichiatrica rilevante. Egli ha quindi concluso che l'interessato è in grado di continuare ad esercitare la sua ultima professione, come pure altre attività confacenti al suo stato di salute, a tempo pieno e senza alcuna restrizione d'ordine funzionale. Nel corso della presente procedura, prendendo posizione sul caso il 9 aprile 2010 (doc. 29), il dott. D._______, medico dell'UAIE, ha sottolineato che i due documenti medici allegati al ricorso non rivelano nuovi elementi diagnostici e che i noti problemi al rachide privi di ripercussioni funzionali, unitamente ai disturbi psichici non necessitanti trattamento, al sovrappeso e al diabete mellito di tipo II, non generano una diminuzione della capacità lavorativa né rispetto all'ultima attività svolta, né rispetto ad attività sostitutive medio leggere, ed ha confermato perciò in toto le conclusioni del dott. C._______.</w:t>
      </w:r>
    </w:p>
    <w:p>
      <w:r>
        <w:rPr>
          <w:b/>
        </w:rPr>
        <w:t>E. 9.2</w:t>
      </w:r>
    </w:p>
    <w:p>
      <w:r>
        <w:t>Visto quanto precede, e tenuto conto dell'intera documentazione medica all'incarto, il collegio giudicante non può che aderire alla valutazione dei dott.ri C._______ e D._______, e considerare che il ricorrente è capace di continuare ad esercitare la sua ultima professione, come pure altre attività confacenti al suo stato di salute, senza alcuna restrizione di natura funzionale.</w:t>
      </w:r>
    </w:p>
    <w:p>
      <w:r>
        <w:rPr>
          <w:b/>
        </w:rPr>
        <w:t>E. 10</w:t>
      </w:r>
    </w:p>
    <w:p>
      <w:r>
        <w:t>Di conseguenza, la decisione impugnata del 15 dicembre 2009 deve essere confermata e il ricorso respinto.</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È ancora opportuno aggiungere che il ricorrente potrà far valere, al compimento del sessantacinquesimo anno d'età, il diritto ad una rendita dell'assicurazione vecchiaia e superstiti svizzera.</w:t>
      </w:r>
    </w:p>
    <w:p>
      <w:r>
        <w:rPr>
          <w:b/>
        </w:rPr>
        <w:t>E. 13</w:t>
      </w:r>
    </w:p>
    <w:p>
      <w:r>
        <w:t>Secondo l'art. 63 cpv. 1 PA, le spese processuali sono di regola messe a carico della parte soccombente. In concreto, visto l'esito della procedura, le spese processuali di Fr. 300.- sono poste a carico del ricorrente e compensate con l'anticipo dello stesso importo, versato il 22 giugno 2010.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