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C-6289/2024 vom 23. September 2024</w:t>
      </w:r>
    </w:p>
    <w:p>
      <w:r>
        <w:t>Bundesverwaltungsgericht, 2024-09-23, FR</w:t>
      </w:r>
    </w:p>
    <w:p>
      <w:r>
        <w:rPr>
          <w:b/>
        </w:rPr>
        <w:t xml:space="preserve">Quelle: </w:t>
      </w:r>
      <w:r>
        <w:t>https://mcp.opencaselaw.ch/entscheid/bvger_C-6289_2024_d20240923</w:t>
      </w:r>
    </w:p>
    <w:p>
      <w:r>
        <w:t>FR: TAF C-6289/2024 du 23 septembre 2024</w:t>
      </w:r>
    </w:p>
    <w:p>
      <w:r>
        <w:t>IT: TAF C-6289/2024 del 23 settembre 2024</w:t>
      </w:r>
    </w:p>
    <w:p>
      <w:pPr>
        <w:pStyle w:val="Heading2"/>
      </w:pPr>
      <w:r>
        <w:t>Regeste</w:t>
      </w:r>
    </w:p>
    <w:p>
      <w:r>
        <w:t>Rentes | Assurance-vieillesse et survivants, rente de veuve (décision sur opposition du 23 septembre 2024)</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l'octroi de rentes de vieillesse et survivants (cf.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 ral est régie par la loi fédérale du 20 décembre 1968 sur la procédure ad- ministrative (PA, RS 172.021) pour autant que la LTAF n'en dispose pas</w:t>
      </w:r>
    </w:p>
    <w:p>
      <w:r>
        <w:t>C-6289/2024 Page 4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à moins que la LAVS ne déroge expressé- ment à la LPGA.</w:t>
      </w:r>
    </w:p>
    <w:p>
      <w:r>
        <w:rPr>
          <w:b/>
        </w:rPr>
        <w:t>E. 1.3</w:t>
      </w:r>
    </w:p>
    <w:p>
      <w:r>
        <w:t>Interjeté en temps utile (art. 20, 21, 22a, 50 PA et art. 60 LPGA), dans les formes prescrites (art. 52 PA), par une administrée directement touchée par la décision attaquée (art. 48 PA et art. 59 LPGA), le recours est rece- vable.</w:t>
      </w:r>
    </w:p>
    <w:p>
      <w:r>
        <w:rPr>
          <w:b/>
        </w:rPr>
        <w:t>E. 2</w:t>
      </w:r>
    </w:p>
    <w:p>
      <w:r>
        <w:t>Dans le domaine des assurances sociales, la procédure est régie par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w:t>
      </w:r>
    </w:p>
    <w:p>
      <w:r>
        <w:rPr>
          <w:b/>
        </w:rPr>
        <w:t>E. 3.1</w:t>
      </w:r>
    </w:p>
    <w:p>
      <w:r>
        <w:t>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w:t>
      </w:r>
    </w:p>
    <w:p>
      <w:r>
        <w:t>C-6289/2024 Page 5 4.3 et les références ; voir ég. ATF 139 V 297 consid. 2.1 ; 130 V 445 con- sid. 1.2.1). En l’occurrence, le cas d’assurance est survenu le (…) 2024, soit lors du décès de feu C._______ susceptible d’ouvrir à la recourante un éventuel droit à une rente de veuve. Partant, les dispositions de la LAVS, du règlement du 31 octobre 1947 sur l’assurance-vieillesse et survivants (RAVS ; RS 831.101), de la LPGA, ainsi que les Directives concernant les rentes de l’assurance-vieillesse, survivants et invalidité fédérale du 1er jan- vier 2003 (ci-après : DR [état au 1er janvier 2017 accessible à l’adresse suivante : https://sozialversicherungen.admin.ch/fr/d/6857#versi- ver=17|14|13|12|7]) en vigueur à ce moment-là sont applicables en l’es- pèce et seront énoncées ci-après dans leur teneur à cette date.</w:t>
      </w:r>
    </w:p>
    <w:p>
      <w:r>
        <w:rPr>
          <w:b/>
        </w:rPr>
        <w:t>E. 3.2</w:t>
      </w:r>
    </w:p>
    <w:p>
      <w:r>
        <w:t>En outre, le juge des assurances sociales apprécie la légalité des dé- cisions attaquées, en règle générale, d’après l’état de fait existant jusqu’au moment où la décision sur opposition litigieuse a été rendue, en l’espèce le 23 septembre 2024. Les faits survenus postérieurement et qui ont modi- 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en influencer l’appréciation au moment où la décision sur opposition attaquée a été ren- due (cf. arrêts du TF 9C_758/2020 du 25 mai 2021 consid. 3.2 ; 9C_34/2017 du 20 avril 2017 consid. 5.2 et les réf. cit.).</w:t>
      </w:r>
    </w:p>
    <w:p>
      <w:r>
        <w:rPr>
          <w:b/>
        </w:rPr>
        <w:t>E. 4</w:t>
      </w:r>
    </w:p>
    <w:p>
      <w:r>
        <w:t>Dans la mesure où la recourante est une ressortissante française, domiciliée en France et assurée à l’assurance-vieillesse, survivants et in- validité suisse (AVS/AI), l’affaire présente un aspect transnational (ATF 145 V 231 consid. 7.1 ; 143 V 354 consid. 4 ; 143 V 81 en particulier consid. 8.1). Par conséquent, la cause doit être tranchée non seulement au regard des normes du droit suisse, mais également à la lumière des dispositions prévues par l'Accord entre la Suisse et la Communauté euro- péenne et ses Etats membres sur la libre circulation des personnes du 21 juin 1999 (ALCP, RS 0.142.112. 681) et des règlements de coordination correspondants. Ainsi, selon les art. 1er al. 1er en relation avec la section A de l’Annexe II et 153a LAVS, les parties contractantes appliquent notam- ment entre elles, depuis le 1er avril 2012, le règlement (CE) n° 883/2004 du Parlement européen et du Conseil du 29 avril 2004 portant sur la coordi- nation des systèmes de sécurité sociale (RS 0.831.109.268.1) et le règle- ment (CE) n° 987/2009 du Parlement européen et du Conseil du 16 sep- tembre 2009 fixant les modalités d’application du règlement (CE) n° 883/2004 (RS 0.831.109.268.11). Conformément à l'art. 4 de ce dernier,</w:t>
      </w:r>
    </w:p>
    <w:p>
      <w:r>
        <w:t>C-6289/2024 Page 6 les personnes auxquelles il s'applique bénéficient des mêmes prestations et sont soumises aux mêmes obligations, en vertu de la législation de tout Etat membre, que les ressortissants de celui-ci.</w:t>
      </w:r>
    </w:p>
    <w:p>
      <w:r>
        <w:rPr>
          <w:b/>
        </w:rPr>
        <w:t>E. 5</w:t>
      </w:r>
    </w:p>
    <w:p>
      <w:r>
        <w:t>L’objet du présent litige porte sur le droit éventuel de la recourante à une rente de veuve issue du décès de son second ex-époux survenu le (…) 2024, la CSC considérant que l’assurée, divorcée, ne remplirait pas les conditions permettant de l’assimiler à une veuve et de la mettre au bénéfice d’une rente de veuve.</w:t>
      </w:r>
    </w:p>
    <w:p>
      <w:r>
        <w:rPr>
          <w:b/>
        </w:rPr>
        <w:t>E. 5.1</w:t>
      </w:r>
    </w:p>
    <w:p>
      <w:r>
        <w:t>Selon la loi en vigueur au moment du décès du second ex-conjoint de la recourante survenu le (…) 2024, les conditions d’octroi du droit à une rente de veuve ou de veuf distinguent entre d’une part, les conjoints du défunt (consid. 5.1.1) et d’autre part, les personnes divorcées du défunt (consid. 5.1.2).</w:t>
      </w:r>
    </w:p>
    <w:p>
      <w:r>
        <w:rPr>
          <w:b/>
        </w:rPr>
        <w:t>E. 5.1.1</w:t>
      </w:r>
    </w:p>
    <w:p>
      <w:r>
        <w:t>Les veuves et les veufs ont droit à une rente si, au décès de leur conjoint, ils ont un ou plusieurs enfants (art. 23 al. 1 LAVS). Sont assimilés aux enfants de veuves ou de veufs (let. a) les enfants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 joint survivant (art. 23 al. 2 LAVS). Il n’est pas nécessaire qu’un lien de filiation au sens de l’art. 252 CC ait existé entre le conjoint décédé et les enfants (DR ch. 3402 ; MICHEL VALTERIO, Droit de l’assurance-vieillesse et survivants (AVS) et de l’assurance-invalidité (AI), Commentaire pratique, éd. Schulthess 2011, § 45 ch. 810).</w:t>
      </w:r>
    </w:p>
    <w:p>
      <w:r>
        <w:rPr>
          <w:b/>
        </w:rPr>
        <w:t>E. 5.1.2</w:t>
      </w:r>
    </w:p>
    <w:p>
      <w:r>
        <w:t>La personne divorcée n’est jamais la veuve ou le veuf de l’ex-con- joint. Elle leur est cependant assimilée si, au moment du décès de l’ex- conjoint, elle remplit les conditions de l’art. 24a LAVS (VALTERIO, op. cit., § 45 ch. 819). Aux termes de cette disposition, la personne divorcée est as- similée à une veuve ou à un veuf (let. a) si elle a un ou plusieurs enfants [au sens de l’art. 23 al. 1 et 2 LAVS ; cf. VALTERIO, op. cit., § 45 ch. 821]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longtemps qu’elle a des</w:t>
      </w:r>
    </w:p>
    <w:p>
      <w:r>
        <w:t>C-6289/2024 Page 7 enfants de moins de 18 ans (al. 2). Pour les femmes divorcées qui ont accompli leur 45e année le 1er janvier 1997, le droit à la rente de veuve est régi par les dispositions en vigueur jusqu’à l’entrée en vigueur au 1er janvier 1997 de la 10e révision de l’AVS si aucun droit à la prestation ne résulte du nouvel art. 24a LAVS (cf. lettre f al. 1 des Dispositions finales de la modifi- cation du 7 octobre 1994 [10e révision ; FF 1990 II 1] de l’AVS). Selon la jurisprudence rendue à l’aune de l’art. 24a LAVS, la femme divor- cée peut ainsi désormais, à certaines conditions, être assimilée à une veuve sans égard au fait que son ancien mari ait été ou non tenu envers elle à une contribution d’entretien (cf. art. 23a al. 2 aLAVS). L’abandon de cette exigence a notamment visé, dans le domaine des rentes de survi- vants, à améliorer la situation des femmes divorcées. En cas de remariage, « la personne divorcée » susceptible d'être assimilée, aux conditions de l'art. 24a LAVS, à une veuve ou un veuf, est uniquement celle dont c'est l'ex-mari ou l'ex-femme qu'elle a eu en dernier lieu qui décède. Cette inter- prétation est en effet la seule qui soit compatible avec la volonté du légi- slateur telle qu'elle se déduit des art. 23 al. 5 LAVS et 46 al. 3 RAVS (cf. arrêt du Tribunal fédéral H 88/99 du 3 avril 2001 consid. 3c-3d et les réfé- rences).</w:t>
      </w:r>
    </w:p>
    <w:p>
      <w:r>
        <w:rPr>
          <w:b/>
        </w:rPr>
        <w:t>E. 5.2</w:t>
      </w:r>
    </w:p>
    <w:p>
      <w:r>
        <w:t>En l’espèce, il est établi que la recourante, née le (…) 1948, s’est unie par mariage le (…) 1970 à feu B._______ dont elle a eu une fille née le (…) 1972 et dont elle a divorcé le (…) 1980. Elle s’est ensuite remariée le (…) 1993 à feu C._______ dont elle a divorcé le (…) 2003, aucun enfant n’étant issu de cette union. La recourante sollicite l’octroi d’une rente de veuve à la suite du décès de ce dernier survenu le (…) 2024.</w:t>
      </w:r>
    </w:p>
    <w:p>
      <w:r>
        <w:rPr>
          <w:b/>
        </w:rPr>
        <w:t>E. 5.2.1</w:t>
      </w:r>
    </w:p>
    <w:p>
      <w:r>
        <w:t>D’emblée, le Tribunal constate que la recourante a divorcé du défunt, de sorte qu’elle ne peut bénéficier d’une rente de veuve qu’aux conditions aménagées par l’art. 24a al. 1 LAVS. A l’aune de cette disposition, il appa- raît que le mariage de la recourante avec feu C._______ a été célébré le (…) 1993 et dissous par divorce le (…) 2003, de sorte qu’il a duré 9 ans, 4 mois et 4 jours, soit moins de 10 ans (AI pces 66, 71, 73 p. 4). La règle selon laquelle le mariage doit avoir duré 10 ans au moins ne permet au- cune interprétation extensive (cf. VALTERIO, op. cit., § 45 ch. 825). Ainsi, le Tribunal fédéral a-t-il jugé qu’un mariage ayant duré 9 ans et 11 mois n’ou- vrait aucun droit à une rente de survivants (ATF 115 V 77 consid. 5-6 p. 76 ss). Dans ces circonstances, les conditions des lettres a) et b) de l’art. 24a al. 1 LAVS ne sont pas remplies.</w:t>
      </w:r>
    </w:p>
    <w:p>
      <w:r>
        <w:t>C-6289/2024 Page 8</w:t>
      </w:r>
    </w:p>
    <w:p>
      <w:r>
        <w:rPr>
          <w:b/>
        </w:rPr>
        <w:t>E. 5.2.2</w:t>
      </w:r>
    </w:p>
    <w:p>
      <w:r>
        <w:t>Par ailleurs, il est constant que la recourante est mère d’une fille issue de son premier mariage. En tant que telle, cette circonstance ne fait pas obstacle à l’octroi d’une rente de veuve, les enfants ne devant pas néces- sairement être ceux du conjoint décédé (DR 3402 ; VALTERIO, op. cit., § 45 ch. 822). Néanmoins, la recourante ne saurait tirer argument en sa faveur de l’art. 24a al. 1 let. c LAVS, sa fille − née le (…) 1972 − ayant atteint l’âge de 18 ans révolus le (…) 1990, soit avant que la recourante − née le (…) 1948 − ait atteint l’âge de 45 ans le (…) 1993.</w:t>
      </w:r>
    </w:p>
    <w:p>
      <w:r>
        <w:rPr>
          <w:b/>
        </w:rPr>
        <w:t>E. 5.2.3</w:t>
      </w:r>
    </w:p>
    <w:p>
      <w:r>
        <w:t>En tout état de cause, la recourante ne saurait bénéficier de l’art. 24a al. 2 LAVS dès lors que sa fille, née le (…) 1972, n’avait pas moins de 18 ans, mais était âgée de 51 ans, au jour de l’ouverture du droit à la rente en (…) 2024, soit le premier jour du mois ayant suivi le décès (cf. art. 23 al. 3 LAVS).</w:t>
      </w:r>
    </w:p>
    <w:p>
      <w:r>
        <w:rPr>
          <w:b/>
        </w:rPr>
        <w:t>E. 5.2.4</w:t>
      </w:r>
    </w:p>
    <w:p>
      <w:r>
        <w:t>Sur le vu de ce qui précède, il apparaît que la recourante, conjointe divorcée du défunt, ne remplit pas les conditions d’octroi d’une rente de veuve prévues par l’art. 24a LAVS.</w:t>
      </w:r>
    </w:p>
    <w:p>
      <w:r>
        <w:rPr>
          <w:b/>
        </w:rPr>
        <w:t>E. 5.3</w:t>
      </w:r>
    </w:p>
    <w:p>
      <w:r>
        <w:t>La recourante étant née le (…) 1948 et ayant atteint l’âge de 45 ans le (…) 1997, il convient encore d’examiner si l’ancien droit en vigueur jusqu’au 31 décembre 1996 serait susceptible de lui ouvrir le droit à une rente de veuve (cf. lettre f al. 1 des Dispositions finales de la 10e révision de l’AVS [cf. supra consid. 5.1.2]).</w:t>
      </w:r>
    </w:p>
    <w:p>
      <w:r>
        <w:rPr>
          <w:b/>
        </w:rPr>
        <w:t>E. 5.3.1</w:t>
      </w:r>
    </w:p>
    <w:p>
      <w:r>
        <w:t>Aux termes de l’ancien art. 23 al. 1 LAVS (en vigueur jusqu’au 31 décembre 1996), les veuves ont droit à une rente de veuve : - lorsqu’elles ont, au décès de leur conjoint, un ou plusieurs enfants de leur sang ou adoptés (let. a) ; - lorsqu’au décès de leur conjoint, un ou plusieurs des enfants par le sang du mari ou adoptés par lui vivent dans le ménage commun en qualité d’enfants recueillis par l’épouse au sens de l’article 28, al. 3, et que ce décès leur ouvre droit à la rente d’orphelin, pourvu que, immé- diatement avant son décès, le mari ait été assuré conformément aux articles 1er ou 2 (let. b) ; - lorsqu’au décès du mari, un ou plusieurs enfants recueillis au sens de l’article 28 al. 3, vivent dans le ménage commun et que ce décès leur ouvre droit à la rente d’orphelin, à la condition, toutefois, qu’immédia- tement avant son décès, le mari ait été assuré conformément aux</w:t>
      </w:r>
    </w:p>
    <w:p>
      <w:r>
        <w:t>C-6289/2024 Page 9 articles 1er ou 2, et que l’enfant ou les enfants recueillis aient été adop- tés par la veuve (let. c) ; - ou lorsqu’au décès de leur conjoint, elles n’ont pas d’enfants de leur sang ou adoptés, ou recueillis au sens des lettres b et c, mais qu’elles ont accompli leur 45ème année et ont été mariées pendant cinq années au moins (let. d). La femme divorcée est assimilée à la veuve en cas de décès de son ancien mari, si son mariage a duré dix ans au moins et si le mari est tenu envers elle à une pension alimentaire (art. 23 al. 2 aLAVS).</w:t>
      </w:r>
    </w:p>
    <w:p>
      <w:r>
        <w:rPr>
          <w:b/>
        </w:rPr>
        <w:t>E. 5.3.2</w:t>
      </w:r>
    </w:p>
    <w:p>
      <w:r>
        <w:t>Dans le cas d’espèce, compte tenu de la durée − inférieure à 10 an- nées (cf. supra consid. 5.2.1) − du mariage de la recourante et du défunt, force est de constater qu’elle ne remplit pas non plus les conditions d’octroi d’une rente de veuve au sens de l’ancien art. 23 al. 2 LAVS.</w:t>
      </w:r>
    </w:p>
    <w:p>
      <w:r>
        <w:rPr>
          <w:b/>
        </w:rPr>
        <w:t>E. 5.4</w:t>
      </w:r>
    </w:p>
    <w:p>
      <w:r>
        <w:t>Au demeurant, la recourante argue avoir subi des violences conjugales de la part de son second ex-époux, avoir en particulier été victime d’une fausse-couche à 4 mois de grossesse sous les coups de ce dernier, se trouver actuellement dans une situation financière précaire et avoir besoin de la rente de veuve. Si le Tribunal entend ces arguments, il ne peut tou- tefois pas en tenir compte. En effet, les conditions posées à l’octroi d’une rente de veuve en faveur d’une personne divorcée ne sont en l’espèce ma- nifestement pas réunies par la recourante et aucun motif ne légitime le Tri- bunal à déroger à la loi.</w:t>
      </w:r>
    </w:p>
    <w:p>
      <w:r>
        <w:rPr>
          <w:b/>
        </w:rPr>
        <w:t>E. 5.5</w:t>
      </w:r>
    </w:p>
    <w:p>
      <w:r>
        <w:t>Sur le vu de ce qui précède, le recours se révèle manifestement mal fondé, de sorte qu’il doit être rejeté à l’issue d’une procédure à juge unique (art. 85bis al. 3 LAVS en relation avec l’art. 23 al. 2 LTAF).</w:t>
      </w:r>
    </w:p>
    <w:p>
      <w:r>
        <w:rPr>
          <w:b/>
        </w:rPr>
        <w:t>E. 6</w:t>
      </w:r>
    </w:p>
    <w:p>
      <w:r>
        <w:t>Il reste à statuer sur le sort des frais de la présente procédure.</w:t>
      </w:r>
    </w:p>
    <w:p>
      <w:r>
        <w:rPr>
          <w:b/>
        </w:rPr>
        <w:t>E. 6.1</w:t>
      </w:r>
    </w:p>
    <w:p>
      <w:r>
        <w:t>La procédure est gratuite pour les parties (art. 85bis al. 2 LAVS), de sorte qu’il n’est pas perçu de frais de procédure.</w:t>
      </w:r>
    </w:p>
    <w:p>
      <w:r>
        <w:rPr>
          <w:b/>
        </w:rPr>
        <w:t>E. 6.2</w:t>
      </w:r>
    </w:p>
    <w:p>
      <w:r>
        <w:t>Vu l’issue du litige, il n’est pas alloué de dépens (art. 64 al. 1 PA et art.</w:t>
      </w:r>
    </w:p>
    <w:p>
      <w:r>
        <w:rPr>
          <w:b/>
        </w:rPr>
        <w:t>E. 7</w:t>
      </w:r>
    </w:p>
    <w:p>
      <w:r>
        <w:t>du règlement du 21 février 2008 concernant les frais, dépens et indem- nités fixés par le Tribunal administratif fédéral [FITAF, RS 173.320.2]).</w:t>
      </w:r>
    </w:p>
    <w:p>
      <w:r>
        <w:t>C-6289/2024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