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C-6274/2014 vom 11. Februar 2016</w:t>
      </w:r>
    </w:p>
    <w:p>
      <w:r>
        <w:t>Bundesverwaltungsgericht, 2016-02-11, DE</w:t>
      </w:r>
    </w:p>
    <w:p>
      <w:r>
        <w:rPr>
          <w:b/>
        </w:rPr>
        <w:t xml:space="preserve">Quelle: </w:t>
      </w:r>
      <w:r>
        <w:t>https://mcp.opencaselaw.ch/entscheid/bvger_C-6274_2014</w:t>
      </w:r>
    </w:p>
    <w:p>
      <w:r>
        <w:t>FR: TAF C-6274/2014 du 11 février 2016</w:t>
      </w:r>
    </w:p>
    <w:p>
      <w:r>
        <w:t>IT: TAF C-6274/2014 del 11 febbraio 2016</w:t>
      </w:r>
    </w:p>
    <w:p>
      <w:pPr>
        <w:pStyle w:val="Heading2"/>
      </w:pPr>
      <w:r>
        <w:t>Regeste</w:t>
      </w:r>
    </w:p>
    <w:p>
      <w:r>
        <w:t>Schengen-Visum</w:t>
      </w:r>
    </w:p>
    <w:p>
      <w:pPr>
        <w:pStyle w:val="Heading2"/>
      </w:pPr>
      <w:r>
        <w:t>Erwägungen</w:t>
      </w:r>
    </w:p>
    <w:p>
      <w:r>
        <w:rPr>
          <w:b/>
        </w:rPr>
        <w:t>E. 1.1</w:t>
      </w:r>
    </w:p>
    <w:p>
      <w:r>
        <w:t>Verfügungen des BFM bzw.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als Gastgeber und Einsprecher zur Be­schwerde berechtigt (Art. 48 Abs. 1 VwVG). Auf die im Übrigen frist- und formgerecht eingereichte Beschwerde ist einzutreten (Art. 50 und 52 VwVG).</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sri-lankischen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5 Abs. 1 SGK ist die Frage der gesicherten Wiederausreise zentral.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5.3.1</w:t>
      </w:r>
    </w:p>
    <w:p>
      <w:r>
        <w:t>Seit Ende des langjährigen Bürgerkriegs im Jahr 2009 hat sich die Sicherheitslage in Sri Lanka zwar stabilisiert. Die Menschenrechtslage aber ist nach wie vor prekär und die politische Situation kann noch nicht als stabil eingestuft werden. In wirtschaftlicher Hinsicht gilt Sri Lanka gemäss Weltbank-Klassifikation als «Lower Middle Income Country»; im als Wohlstandsindikator zu berücksichtigenden UN-Index der menschlichen Entwicklung (HDI) 2013 belegt Sri Lanka die Position 73 von 187 Ländern. Das Bruttoinlandsprodukt (BIP) betrug 2014 71,6 Mrd. USD (3'414 USD/Kopf). Dies stellt gegenüber dem Vorjahr ein reales Wachstum von 7% dar, und die Prognose für 2015 liegt auf demselben Niveau. Die Arbeitslosigkeit liegt bei ca. 4,4%, ist also relativ tief, wobei freilich - wie bei den Einkommen - ein erhebliches Stadt/Land-Gefälle existiert. Etwa die Hälfte der Wirtschaftsleistung des Landes ist auf die Region um Colombo konzentriert. Namentlich bei der Landbevölkerung ist dagegen Armut weiterhin verbreitet. Für die vorwiegend tamilische Bevölkerung im Norden des Landes (inkl. Halbinsel Jaffna) kommt hinzu, dass die öffentliche Gesundheitsversorgung dürftig ist und viele Kliniken nur über rudimentäre Behandlungsmöglichkeiten verfügen. All diese Umstände führen zu einer anhaltend hohen Emigration (Quellen: Webseite des deutschen Auswärtigen Amtes: www.auswaertiges-amt.de, Aussen- und Europapolitik Länderinformationen &gt; Sri Lanka &gt; Wirtschaft, Stand: September 2015, besucht im November 2015 sowie Urteil des BVGer C-871/2014 vom 23. Juni 2015 E. 5.2 mit weiteren Hinweisen).</w:t>
      </w:r>
    </w:p>
    <w:p>
      <w:r>
        <w:rPr>
          <w:b/>
        </w:rPr>
        <w:t>E. 5.3.2</w:t>
      </w:r>
    </w:p>
    <w:p>
      <w:r>
        <w:t>In Anbetracht dieser Umstände ist grundsätzlich nicht zu beanstanden, dass die Vorinstanz das Risiko einer nicht fristgerechten Wiederausreise allgemein als hoch einschätzt. Das Risiko ist insofern zu bekräftigen, als die Bereitschaft, das Land auf Dauer zu verlassen, durch bereits im Ausland lebende nahe Verwandte erfahrungsgemäss begünstigt werden kann. Andererseits ist das allgemeine Risiko im Falle der Gesuchstellerin insofern zu relativieren, als diese nicht etwa in einem der ehemaligen Konfliktgebiete im Norden oder Osten des Landes, sondern in der Hauptstadt Colombo lebt.</w:t>
      </w:r>
    </w:p>
    <w:p>
      <w:r>
        <w:rPr>
          <w:b/>
        </w:rPr>
        <w:t>E. 5.3.3</w:t>
      </w:r>
    </w:p>
    <w:p>
      <w:r>
        <w:t>Bei der Risikoanalyse sind neben allgemeinen Umständen und Erfahrungen sämtliche Gesichtspunkte des konkreten Einzelfalls zu berücksichtigen. In beweisrechtlicher Hinsicht ist festzuhalten, dass ein Visum nur erteilt werden darf, wenn keine begründeten Zweifel an der Absicht der Gesuchstel­ler bestehen, den Schengen-Raum vor Ablauf des Visums zu verlassen (vgl. BVGE 2014/1 E. 4.4 und E. 6.3.1 je m.H).</w:t>
      </w:r>
    </w:p>
    <w:p>
      <w:r>
        <w:rPr>
          <w:b/>
        </w:rPr>
        <w:t>E. 6.1</w:t>
      </w:r>
    </w:p>
    <w:p>
      <w:r>
        <w:t>Bei der Gesuchstellerin handelt es sich um eine mittlerweile 75-jährige Frau, die seit August 2012 verwitwet ist (SEM act. 5/138). Ihre Söhne und Töchter halten sich alle im Ausland auf: Nebst dem Gastgeber, der inzwischen das Schweizer Bürgerrecht besitzt, wohnen ein weiterer Sohn und eine Tochter in der Schweiz. Zwei Söhne leben in Deutschland (SEM act. 5/150 und act. 5/159). Gemäss den Auskünften der Gesuchstellerin gegenüber der Schweizer Vertretung lebt sie in Colombo zusammen mit einem Neffen im eigenen Haus (SEM act. 5/159 und 5/169). Aufgrund der Angaben in früheren Visumsverfahren kann davon ausgegangen werden, dass die Gesuchstellerin und ihr inzwischen verstorbener Ehemann zwar ursprünglich von Pungudutivu, einer kleinen Insel im Norden Sri Lankas stammten, seit vielen Jahren aber in Colombo lebten (SEM act. 1/11 und 12, act.1/38, act. 1/85). An den Ausführungen des Beschwerdeführers, wonach die Gesuchstellerin an ihrem Wohnort sozial gut vernetzt sei, ist nicht zu zweifeln.</w:t>
      </w:r>
    </w:p>
    <w:p>
      <w:r>
        <w:rPr>
          <w:b/>
        </w:rPr>
        <w:t>E. 6.2</w:t>
      </w:r>
    </w:p>
    <w:p>
      <w:r>
        <w:t>Die Vorinstanz geht davon aus, dass sich die Gesuchstellerin in ungünstigen finanziellen Verhältnissen bzw. in finanzieller Abhängigkeit von den Söhnen und Töchtern befindet. Tatsächlich erklärte die Gesuchstellerin gegenüber der Schweizer Vertretung, ihre Söhne und Töchter sorgten für ihren Unterhalt (SEM act. 5/159). Von dieser Sachlage ging auch die Schweizer Vertretung aus. Gleichzeitig bemängelte sie in einer Notiz an die Vorinstanz, dass der als Beweismittel eingereichte Bankauszug Guthaben der Söhne und Töchter der Gesuchstellerin ausweise (SEM act. 5/162). Tatsache ist aber, dass besagte Bankbestätigung vom 30. Juni 2014 (SEM act. 5/148), mit der Guthaben in einem Gesamtbetrag von umgerechnet rund CHF 15'609.00 ausgewiesen werden, auf den Namen der Gesuchstellerin ausgestellt wurde und bei allen drei darin aufgeführten Konten die Gesuchstellerin als zumindest Mit-Inhaberin aufgeführt ist (Account Holder's Name). Auf die vom Beschwerdeführer bereits im Einspracheverfahren (Stellungnahme des Einsprechers vom 10. September 2014; kantonale Akten S. 66) vorgebrachte und in der Beschwerde teilweise wiederholte Ergänzung, wonach die Gesuchstellerin ihren Lebensunterhalt aus dem Ertrag von vermieteten Wohnungen bestreiten könne und daneben über Erspartes sowie den Nachlass ihres verstorbenen Ehemannes verfüge, ging die Vorinstanz weder in ihrem Einspracheentscheid noch in ihrer Vernehmlassung zur Beschwerde ein. Im Einspracheentscheid wurde (in offenbarer Anlehnung an eine ursprüngliche Einschätzung durch die schweizerische Vertretung in Colombo) nur gerade wiederholt, dass die Gesuchstellerin über kein eigenes Einkommen verfüge und deshalb auf eine finanzielle Unterstützung durch Ihre Söhne und Töchter angewiesen sei. Damit ist die Vorinstanz ihrer in Art. 12 VwVG statuierten Pflicht zur Abklärung des entscheidswesentlichen Sachverhalts nicht nachgekommen; es hätte ihr im Zweifelsfall offen gestanden, im Einspracheverfahren von der Partei weitere Aufschlüsse und Belege zu den wirtschaftlichen Verhältnissen einzufordern. Dies hätte sich umso mehr gerechtfertigt, als der Ehemann zu Lebzeiten offenbar Besitzer oder zumindest Betreiber eines Hotels bzw. Gästehauses in Colombo war. Davon, dass sich die Gesuchstellerin in unvorteilhaften finanziellen Verhältnissen oder auch nur in einem besonderen Abhängigkeitsverhältnis zu ihren Söhnen und Töchtern befände, kann aufgrund der bestehenden Akten jedenfalls nicht ausgegangen werden.</w:t>
      </w:r>
    </w:p>
    <w:p>
      <w:r>
        <w:rPr>
          <w:b/>
        </w:rPr>
        <w:t>E. 6.3</w:t>
      </w:r>
    </w:p>
    <w:p>
      <w:r>
        <w:t>Zwar trifft zu, dass die Gesuchstellerin keine eigentlichen Verpflichtungen in ihrem Heimatland hat, welche die von der Vorinstanz angenommene allgemeine Migrationsgefahr wesentlich relativieren könnten. Bei der Risikobewertung fällt aber positiv ins Gewicht, dass die Gesuchstellerin in der Vergangenheit bereits mehrmals in der Schweiz zu Besuch bei ihren hier ansässigen Söhnen und der Tochter war, dies jeweils in Begleitung ihres inzwischen verstorbenen Ehemannes. Allein in den letzten fünfzehn Jahren erhielten die Beiden viermal entsprechende Visa. Aufgrund der in den Akten vorhandenen Passkopien hielt sich die Gesuchstellerin 2004 vom 25. Juli bis 22. August (SEM act. 5/155), 2005 vom 30. September bis 18. November (SEM act. 5/154) und 2009 vom 5. Juli bis 30. September (SEM act. 5/155) in der Schweiz auf. Im Jahre 2007 reiste sie am 1. Juli in die Schweiz ein. Dass sie den für maximal 60 Tage bewilligten Aufenthalt (SEM act. 5/154) nach Darstellung des Beschwerdeführers um einen Tag überzogen haben soll, kann nicht entscheidend ins Gewicht fallen. Zwei Jahre später erhielt sie denn auch erneut ein Visum zum Besuchsaufenthalt, welches sie korrekt benutzte. Die Gesuchstellerin hat sich demnach bei wiederkehrenden Gelegenheiten im Grossen und Ganzen korrekt verhalten und die Obliegenheiten (insbes. diejenige zur anstandslosen Wiederausreise aus der Schweiz) respektiert. Unter diesen Umständen kann die Tatsache, dass der früher mitreisende Ehegatte inzwischen verstorben ist, für sich allein nicht schon zu einer völlig anderen Risikobeurteilung führen. Dies umso weniger, als die Annahme, wonach sich die wirtschaftlichen Verhältnisse, in denen sich die Gesuchstellerin befindet, durch das Ableben des Ehemannes wesentlich verschlechtert haben sollen, in den Akten keine Stütze findet.</w:t>
      </w:r>
    </w:p>
    <w:p>
      <w:r>
        <w:rPr>
          <w:b/>
        </w:rPr>
        <w:t>E. 6.4</w:t>
      </w:r>
    </w:p>
    <w:p>
      <w:r>
        <w:t>Auch wenn das Risiko für eine Missachtung ausländerrechtlicher Normen nie gänzlich ausgeschlossen werden kann, erscheint es vorliegend doch als gering. Mit anderen Worten ist nicht davon auszugehen, es bestünden Hinderungsgründe dieser Art gemäss Art. 5 SGK bzw. Art. 5 AuG für die Erteilung des beantragten Visums.</w:t>
      </w:r>
    </w:p>
    <w:p>
      <w:r>
        <w:rPr>
          <w:b/>
        </w:rPr>
        <w:t>E. 7</w:t>
      </w:r>
    </w:p>
    <w:p>
      <w:r>
        <w:t>Indem die Vorinstanz den entscheidsrelevanten Sachverhalt wesentlich anders gewichtete, hat sie Bundesrecht verletzt (Art. 49 Bst. a VwVG). Die Beschwerde ist daher gutzuheissen, die angefochtene Verfügung ist aufzuheben und die Sache zur neuerlichen Beurteilung an die Vorinstanz zurückzuweisen. Dabei bleibt von der Vorinstanz zu prüfen, ob die übrigen Einreisevoraussetzungen (vgl. E. 4) erfüllt sind.</w:t>
      </w:r>
    </w:p>
    <w:p>
      <w:r>
        <w:rPr>
          <w:b/>
        </w:rPr>
        <w:t>E. 8</w:t>
      </w:r>
    </w:p>
    <w:p>
      <w:r>
        <w:t>Entsprechend dem Ausgang des Verfahrens sind weder dem Beschwerdeführer noch der Vorinstanz Kosten aufzuerlegen (Art. 63 Abs. 1 und 2 VwVG) und der geleistete Kostenvorschuss ist zurückzuerstatten. Eine Parteientschädigung ist nicht zuzusprechen, da dem nicht anwaltlich vertretenen Beschwerdeführer zur wirksamen Verfolgung seiner Interessen im Beschwerdeverfahren vermutungsweise keine notwendigen und verhältnismässig hohen Kosten erwachsen sind (Art. 64 Abs. 1 VwVG i.V.m. Art 7 Abs. 4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