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C-6273/2008 vom 1. September 2009</w:t>
      </w:r>
    </w:p>
    <w:p>
      <w:r>
        <w:t>Bundesverwaltungsgericht, 2009-09-01, FR</w:t>
      </w:r>
    </w:p>
    <w:p>
      <w:r>
        <w:rPr>
          <w:b/>
        </w:rPr>
        <w:t xml:space="preserve">Quelle: </w:t>
      </w:r>
      <w:r>
        <w:t>https://mcp.opencaselaw.ch/entscheid/bvger_C-6273_2008</w:t>
      </w:r>
    </w:p>
    <w:p>
      <w:r>
        <w:t>FR: TAF C-6273/2008 du 1 septembre 2009</w:t>
      </w:r>
    </w:p>
    <w:p>
      <w:r>
        <w:t>IT: TAF C-6273/2008 del 1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C._______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thaïlandais, A._______ est soumis à l'obligation du visa.</w:t>
      </w:r>
    </w:p>
    <w:p>
      <w:r>
        <w:rPr>
          <w:b/>
        </w:rPr>
        <w:t>E. 7</w:t>
      </w:r>
    </w:p>
    <w:p>
      <w:r>
        <w:t>Il importe de relever que, selon une pratique constante des autorités, une autorisation d'entrée en Suisse et dans l'Espace Schengen ne peut être délivrée à des étrangers dont le retour dans leur pays n'est pas assuré, soit en raison de la situation politique ou économique prévalant dans celui-ci, soit en raison de la situation personnelle du requérant. De plus, il convient de noter que lorsque l'autorité examine si l'étranger présente les garanties nécessaires en vue de la sortie de Suisse et de l'Espace Schengen dans les délais impartis, elle ne peut le faire que, d'une part, sur la base d'indices fondés sur la situation personnelle, familiale ou professionnelle de l'étranger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8</w:t>
      </w:r>
    </w:p>
    <w:p>
      <w:r>
        <w:t>Dans la décision attaquée, l'ODM a refusé d'autoriser l'entrée en Suisse de A._______,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A ce sujet, il faut prendre en considération la qualité de vie et les conditions économiques et sociales difficiles que connaît l'ensemble de la population de la Thaïlande, conditions économiques qui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9</w:t>
      </w:r>
    </w:p>
    <w:p>
      <w:r>
        <w:t>En l'occurrence, sans pour autant minimiser les raisons d'ordre familial qui motivent sa demande, le Tribunal ne saurait admettre, au vu de l'ensemble des éléments du dossier, que le retour de A._______ en Thaïlande au terme de l'autorisation demandée puisse être considéré comme suffisamment garanti. Force est de constater en effet que le dossier de A._______ renferme des contradictions et des incohérences sur sa situation familiale et professionnelle, lesquelles sont de nature à mettre sérieusement en doute les garanties exprimées par le recourant de voir son invité quitter la Suisse et l'Espace Schengen à l'expiration de son visa d'entrée. Il apparaît ainsi que, dans sa demande d'autorisation d'entrée du 11 avril 2008, A._______ avait indiqué être domicilié à Uttaradit et exercer la profession de "driver (car for rent)". Or, dans son courrier du 26 mai 2008 au Contrôle de l'habitant de Lausanne, le recourant indiquait par contre que son beau-frère tenait un commerce de vente de bois pour barbecue dont son épouse, résidant à Pathum Thani, ville distante de plusieurs centaines de kilomètres d'Uttaradit, s'occuperait en son absence. Les contradictions relevées dans les déclarations respectives des intéressés laissent planer un doute certain sur la réelle situation personnelle et professionnelle de A._______, ainsi que sur les raisons de sa venue en Suisse. Ces doutes sont par ailleurs renforcés par la demande de prolongation de séjour que A._______ avait déposée lors de sa précédente venue en Suisse en 2007, ainsi que par la brève période séparant son retour en Thaïlande de la nouvelle demande de visa de trois mois qu'il a déposée le 11 avril 2008. Si l'intéressé avait réellement des attaches familiales et professionnelles étroites en Thaïlande, il n'aurait pas prolongé à quatre mois la durée de son séjour en Suisse en 2007 et n'aurait pas sollicité, six mois seulement après son retour dans son pays, l'octroi d'un nouveau visa de tourisme de trois mois. Le Tribunal relève en outre que les justifications avancées par le recourant au sujet de la demande de prolongation de séjour de A._______ (en l'occurrence la possibilité d'accompagner ses invitants durant leurs vacances à la montagne et au Tessin) n'apparaissent guère convaincantes, dès lors que des explications parfaitement identiques avaient déjà été fournies pour justifier les deux demandes de prolongation de visa que le recourant avait précédemment sollicitées en faveur de la soeur de A._______, D._______, laquelle avait également prolongé son séjour touristique en Suisse lors de ses venues dans ce pays en 2004 et 2006.</w:t>
      </w:r>
    </w:p>
    <w:p>
      <w:r>
        <w:rPr>
          <w:b/>
        </w:rPr>
        <w:t>E. 10</w:t>
      </w:r>
    </w:p>
    <w:p>
      <w:r>
        <w:t>Le Tribunal constate au surplus que le recourant n'a pas donné suite à sa réquisition l'invitant à se déterminer sur les contradictions relevées au sujet de la situation personnelle et professionnelle de A._______. Or, à teneur de l'art. 8 du code civil suisse du 10 décembre 1907 (CC, RS 210), chaque partie doit, si la loi ne prévoit le contraire, prouver les faits qu'elle allègue pour en déduire son droit. Cette règle du droit privé trouve également son application en procédure administrative, où il incombe à l'administré d'établir les faits qui sont de nature à lui procurer un avantage (cf. ATF 122 II 393/394, consid. 4c/cc, ainsi que doctrine et jurisprudence citées; A. Grisel, Traité de droit administratif, Neuchâtel, 1984, vol I, p. 99 et vol. II, 929). C'est le lieu de rappeler que, si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l'obligation de l'administré de prêter son concours à l'établissement des faits pertinents, en particulier dans les procédures qu'il introduit lui-même dans son propre intérêt (cf. art. 13 al. 1 let. a PA). Ce devoir de collaboration lui incombe également en ce qui concerne les faits qu'il est mieux à même de connaître (parce qu'ils ont trait spécifiquement à sa situation personnelle), ou que l'administration ne peut connaître, ou seulement au prix de frais excessifs (cf. ATF 128 II 139 consid. 2b p. 142s., ATF 124 II 361 consid. 2b p. 365, et la jurisprudence citée ; cf. également consid. 3.2 de l'arrêt du TF 2A.404/2004 du 18 février 2005, partiellement publié in: ATF 131 II 265, et les références citées ; Clémence Grisel, L'obligation de collaborer des parties en procédure administrative, Fribourg 2008, p. 248ss, spéc. p. 256s. ; Pierre Moor, Droit administratif, vol. II : Les actes administratifs et leur contrôle, Berne 2002, p. 258ss, ch. 2.2.6.3 ; Fritz Gygi, Bundesverwaltungsrechtspflege, Berne 1983, p. 208s., 284s.). Eu égard à ce qui précède, le manque de collaboration du recourant à l'établissement de la situation de A._______ achève de mettre en doute la crédibilité générale de ses allégations et, partant, les garanties de l'impérieux retour du prénommé dans son pays à l'issue de son séjour touristique en Suisse.</w:t>
      </w:r>
    </w:p>
    <w:p>
      <w:r>
        <w:rPr>
          <w:b/>
        </w:rPr>
        <w:t>E. 11</w:t>
      </w:r>
    </w:p>
    <w:p>
      <w:r>
        <w:t>En conséquence, au vu de l'ensemble des éléments de la cause, le Tribunal estime qu'il ne saurait être reproché à l'ODM d'avoir considéré que le départ de A._______ à l'échéance du visa requis n'était pas suffisamment assuré et, partant, d'avoir refusé la délivrance d'une autorisation d'entrée en sa faveur. Il ressort de ce qui précède que la décision de l'ODM du 3 septembre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