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C-6266/2009 vom 27. September 2010</w:t>
      </w:r>
    </w:p>
    <w:p>
      <w:r>
        <w:t>Bundesverwaltungsgericht, 2010-09-27, DE</w:t>
      </w:r>
    </w:p>
    <w:p>
      <w:r>
        <w:rPr>
          <w:b/>
        </w:rPr>
        <w:t xml:space="preserve">Quelle: </w:t>
      </w:r>
      <w:r>
        <w:t>https://mcp.opencaselaw.ch/entscheid/bvger_C-6266_2009</w:t>
      </w:r>
    </w:p>
    <w:p>
      <w:r>
        <w:t>FR: TAF C-6266/2009 du 27 septembre 2010</w:t>
      </w:r>
    </w:p>
    <w:p>
      <w:r>
        <w:t>IT: TAF C-6266/2009 del 27 settembre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abgeändert durch die Verordnung (EG) Nr. 1244/2009 vom 30. November 2009 (Visumsbefreiung von Serbien, Montenegro und Mazedonien; ABl. L 336 vom 18.12.2009, S. 1-3) unterliegt der Gesuchsteller als kosovarischer Staatsangehöriger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Der Gesuchsteller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Der Armutsanteil der Bevölkerung im Kosovo liegt bei 45%; 17% der Staatsbürger leben sogar in extremer Armut (vgl. Weltbank, www.worldbank.org &gt; Countries &gt; Kosovo &gt; Overview &gt; Country Brief 2010, Stand: April 2010, besucht im September 2010). Die Tendenz zur Auswanderung zeigt sich zwar erfahrungsgemäss besonders stark bei jüngeren und ungebundenen Personen, aber auch sozial eingebundene Menschen und solche reiferen Alters fassen oft diesen Weg ins Auge. Ein im Ausland bereits bestehendes, minimales soziales Beziehungsnetz (Verwandte oder Freunde) ist ein wichtiges Element, das den Entscheid auszuwandern erleichtern kann. Es gilt nach Möglichkeit zu verhindern, dass Gesuchsteller ihre Anwesenheit in der Schweiz - entgegen ihrer ursprünglichen Absichtserklärung - dazu nutzen, ein Asylgesuch einzureichen oder die fristgerechte Wiederausreise auf andere Weise zu umgehen. Der Zuwanderungsdruck spiegelt sich denn auch in der schweizerischen Asylstatistik wieder: So stammten im Jahr 2009 4.3% der Asylsuchenden aus dem Kosovo, der damit in der Statistik der Asylgesuche nach Nationen - mit insgesamt 694 Gesuchen - an siebter Stelle stand (vgl. kommentierte BFM-Asylstatistik 2009, S. 10). Seit dem 1. April 2009 gilt der Kosovo zwar als verfolgungssicherer Staat (Safe Country), dies gemäss Beschluss des Bundesrates vom 6. März 2009. Es wird sich aber zeigen müssen, ob und falls ja, welchen Einfluss dies auf künftige Asylbewerberzahlen haben wird. Immerhin stellten im 3. Quartal 2009 noch 179 Personen und im 4. Quartal 151 Personen aus dem Kosovo hier ein Asylgesuch. Im 1. und 2. Quartal 2010 sank deren Zahl auf 140; Kosovo liegt damit aber immer noch an achter Stelle der Herkunftsländer von Asylsuchenden (vgl. kommentierte BFM-Asylstatistik, 3. und 4. Quartal 2009 sowie kommentierte Asylstatistik 1. und 2. Quartal 2010).</w:t>
      </w:r>
    </w:p>
    <w:p>
      <w:r>
        <w:rPr>
          <w:b/>
        </w:rPr>
        <w:t>E. 6.4</w:t>
      </w:r>
    </w:p>
    <w:p>
      <w:r>
        <w:t>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für eine anstandslose Wiederausreise begünstigen.</w:t>
      </w:r>
    </w:p>
    <w:p>
      <w:r>
        <w:rPr>
          <w:b/>
        </w:rPr>
        <w:t>E. 6.5</w:t>
      </w:r>
    </w:p>
    <w:p>
      <w:r>
        <w:t>Beim Gesuchsteller handelt es um sich einen 43-jährigen, verheirateten Mann und Vater von vier Kindern, wovon drei noch zur Schule gehen. Auf den ersten Blick könnte der Umstand, dass er für die Dauer des Besuchsaufenthaltes seine Ehefrau, die Kinder und seine ebenfalls im gleichen Haus lebende 70-jährige Mutter in der Heimat zurücklassen würde, durchaus für eine gewisse Verwurzelung sprechen. Andererseits zeigt die Erfahrung, dass zurückbleibende Angehörige gerade in Situationen angespannter wirtschaftlicher Verhältnisse nicht verlässlich davon abhalten, den Entschluss für eine Emigration zu fällen. Im Gegenteil, der Entscheid kann dort von der Hoffnung getragen sein, die Angehörigen aus dem Ausland später nachfolgen zu lassen.</w:t>
      </w:r>
    </w:p>
    <w:p>
      <w:r>
        <w:rPr>
          <w:b/>
        </w:rPr>
        <w:t>E. 6.6</w:t>
      </w:r>
    </w:p>
    <w:p>
      <w:r>
        <w:t>Dass der Zuwanderungsdruck von Personen aus dem Kosovo anhält, wurde bereits gesagt. Auch die wirtschaftlichen Verhältnisse, in denen sich der Gesuchsteller befindet, lassen nicht auf eine günstige Prognose bezüglich einer gesicherten Wiederausreise schliessen. Über sein Vermögen und sein Einkommen als Bauer und als temporär tätiger Maler ergibt sich nichts aus den Akten. Irgendwelche Belege sind denn auch weder bei der Vorinstanz noch im Beschwerdeverfahren eingereicht worden. Der in der Rechtsmitteleingabe beschriebene landwirtschaftliche Kleinbetrieb, den der Gesuchsteller bewirtschaftet (eine Kuh, ein Pferd und Kleinvieh), reicht mit Sicherheit nicht aus, um die ganze Familie zu ernähren. Zudem räumen die Beschwerdeführer selbst ein, dass der Gesuchsteller aufgrund der prekären wirtschaftlichen Situation im Kosovo als temporär tätiger Maler sehr wenig Arbeitseinsätze hat. Besondere berufliche oder gesellschaftliche Verpflichtungen können daraus nicht abgeleitet werden. Obwohl seit Einreichung der Replik vom 29. Dezember 2009 - wie im Übrigen schon bei der Einreichung des Einreisegesuchs - nur noch ein Besuchsaufenthalt von 30 Tagen beantragt wird, wäre es dem Gesuchsteller nämlich ohne weiteres möglich, bis zu drei Monaten von Hof und Familie fernzubleiben (vgl. die gegenüber der kantonalen Migrationsbehörde gemachten Angaben der Beschwerdeführer vom 25. Juli 2009).</w:t>
      </w:r>
    </w:p>
    <w:p>
      <w:r>
        <w:rPr>
          <w:b/>
        </w:rPr>
        <w:t>E. 6.7</w:t>
      </w:r>
    </w:p>
    <w:p>
      <w:r>
        <w:t>Vor dem allgemeinen und persönlichen Hintergrund durfte die Vorinstanz demnach davon ausgehen, dass keine hinreichende Gewähr für eine fristgerechte und anstandslose Wiederausreise des Gesuchstellers nach einem Besuchsaufenthalt besteht. An dieser Beurteilung vermögen auch die Zusicherungen der Beschwerdeführer nichts zu ändern.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(BVGE 2009/27 E. 9). Die Gastgeber können - wie dies in casu mit der Unterzeichnung der entsprechenden Verpflichtungserklärung am 24. Juni 2009 geschehen ist - zwar für gewisse finanzielle Risiken (Lebensunterhaltskosten während des Besuchsaufenthaltes, allfällige Kosten für Unfall- und Krankheit sowie Rückreisekosten) Garantie leisten. Für ein bestimmtes Verhalten des Gastes können sie aber - mangels rechtlicher und faktischer Durchsetzbarkeit - nicht garantieren, auch nicht mit der Hinterlegung einer Geldsumme (Kaution) für den Fall, dass der Gast die Schweiz nach Ablauf des Besuchsaufenthaltes nicht wieder verlassen sollte (vgl. Urteil des Bundesverwaltungsgerichts C-2405/2008 vom 18. März 2009 E. 10 mit Hinweisen). Im Übrigen steht den Beschwerdeführern weiterhin die Möglichkeit offen, den Gesuchsteller im Kosovo zu besuchen.</w:t>
      </w:r>
    </w:p>
    <w:p>
      <w:r>
        <w:rPr>
          <w:b/>
        </w:rPr>
        <w:t>E. 7</w:t>
      </w:r>
    </w:p>
    <w:p>
      <w:r>
        <w:t>Aus den dargelegten Gründen ist daher nicht zu beanstanden, dass die Vorinstanz das öffentliche Interesse sowie die Beachtung der geltenden Bestimmungen entsprechend gewichtete und dem Gesuchsteller die Einreise verweigerte. Die angefochtene Verfügung ist somit rechtmässig (Art. 49 VwVG). Die Beschwerde ist demzufolge abzuweisen.</w:t>
      </w:r>
    </w:p>
    <w:p>
      <w:r>
        <w:rPr>
          <w:b/>
        </w:rPr>
        <w:t>E. 8</w:t>
      </w:r>
    </w:p>
    <w:p>
      <w:r>
        <w:t>Dem Ausgang des Verfahrens entsprechend werden die unterliegenden Beschwerdeführer kostenpflichtig (Art. 63 Abs. 1 VwVG). Die Verfahrenskosten sind auf Fr. 600.- festzusetzen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