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C-6262/2011 vom 7. Mai 2013</w:t>
      </w:r>
    </w:p>
    <w:p>
      <w:r>
        <w:t>Bundesverwaltungsgericht, 2013-05-07, DE</w:t>
      </w:r>
    </w:p>
    <w:p>
      <w:r>
        <w:rPr>
          <w:b/>
        </w:rPr>
        <w:t xml:space="preserve">Quelle: </w:t>
      </w:r>
      <w:r>
        <w:t>https://mcp.opencaselaw.ch/entscheid/bvger_C-6262_2011</w:t>
      </w:r>
    </w:p>
    <w:p>
      <w:r>
        <w:t>FR: TAF C-6262/2011 du 7 mai 2013</w:t>
      </w:r>
    </w:p>
    <w:p>
      <w:r>
        <w:t>IT: TAF C-6262/2011 del 7 maggio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2011/43 E. 6.1).</w:t>
      </w:r>
    </w:p>
    <w:p>
      <w:r>
        <w:rPr>
          <w:b/>
        </w:rPr>
        <w:t>E. 3</w:t>
      </w:r>
    </w:p>
    <w:p>
      <w:r>
        <w:t>In formeller Hinsicht rügt der Beschwerdeführer eine Verletzung des rechtlichen Gehörs, weil er keine Möglichkeit erhalten habe, sich zum Erlass der Fernhaltemassnahme zu äussern.</w:t>
      </w:r>
    </w:p>
    <w:p>
      <w:r>
        <w:rPr>
          <w:b/>
        </w:rPr>
        <w:t>E. 3.1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 / Giorgio Malinverni / Michel Hottelier, Droit constitutionnel suisse Vol. II., Les droits fondamentaux, 2. Aufl., Bern 2006, S. 606 ff.; Benoit Bovay, Procédure administrative, Bern 2000, S. 207 ff.; Ulrich Häfelin / Georg Müller / Felix Uhlmann, Allgemeines Verwaltungsrecht, 6. vollständig überarbeitete Aufl., Zürich / St. Gallen 2010, Rz. 1672 ff.; Alfred Kölz / Isabelle Häner, Verwaltungsverfahren und Verwaltungsrechtspflege des Bundes, 2. Aufl., Zürich 1998, Rz. 129 ff. und 292 ff.; Jörg Paul Müller / 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3.2</w:t>
      </w:r>
    </w:p>
    <w:p>
      <w:r>
        <w:t>Aus den Akten geht hervor, dass die Fachstelle Migration des Kantons Glarus dem Beschwerdeführer das rechtliche Gehör zum Erlass einer allfälligen Fernhaltemassnahme am 25. August 2009 anlässlich einer persönlichen Vorsprache gewährt hat. Die im Anschluss daran erfolgte Verfügung der kantonalen Migrationsbehörde vom 16. Oktober 2009 betr. Widerruf der Niederlassungsbewilligung und Wegweisung enthält ebenfalls Erwägungen dazu, dass das BFM nach rechtskräftigem Abschluss des Aufenthaltsverfahrens ein befristetes oder unbefristetes Einreiseverbot prüfen werde. Der Parteivertreter hat sich am 18. November 2009 in einem dagegen eingelegten Rechtsmittel sogar explizit hierzu geäussert. Dass dem Beschwerdeführer das rechtliche Gehör nicht durch die verfügende Behörde selbst gewährt wurde, ist nicht von Belang (vgl. beispielsweise Urteil des BVGer C-5193/2011 vom 10. August 2012 E. 3.3 und 3.4 mit Hinweisen). Sein Gehörsanspruch wurde durch das beschriebene Verhalten der Behörden ohne weiteres gewahrt. Dem Hauptantrag, die angefochtene Verfügung aus diesem Grund aufzuheben, ist somit nicht stattzugeben.</w:t>
      </w:r>
    </w:p>
    <w:p>
      <w:r>
        <w:rPr>
          <w:b/>
        </w:rPr>
        <w:t>E. 4</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a.a.O., Rz. 337 ff.).</w:t>
      </w:r>
    </w:p>
    <w:p>
      <w:r>
        <w:rPr>
          <w:b/>
        </w:rPr>
        <w:t>E. 5.1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5.2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5.3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 Strafbare Handlungen gegen Leib und Leben wie die versuchte vorsätzliche Tötung fallen zweifelsohne unter diese Begriffsbestimmung und ziehen in aller Regel ein Einreiseverbot nach sich.</w:t>
      </w:r>
    </w:p>
    <w:p>
      <w:r>
        <w:rPr>
          <w:b/>
        </w:rPr>
        <w:t>E. 6</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EMRK erge­ben können)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7</w:t>
      </w:r>
    </w:p>
    <w:p>
      <w:r>
        <w:t>Der Beschwerdeführer wurde vom Obergericht des Kantons Glarus am 3. Juli 2009 in zweiter Instanz versuchter vorsätzlicher Tötung und des unerlaubten Waffentragens schuldig gesprochen und zu einer unbedingten Freiheitsstrafe von 40 Monaten verurteilt. Mit einer Delinquenz dieser Art sind die Voraussetzungen für ein Einreiseverbot gemäss Art. 67 Abs. 2 Bst. a AuG ohne Zweifel erfüllt.</w:t>
      </w:r>
    </w:p>
    <w:p>
      <w:r>
        <w:rPr>
          <w:b/>
        </w:rPr>
        <w:t>E. 8</w:t>
      </w:r>
    </w:p>
    <w:p>
      <w:r>
        <w:t>Es ist im Folgenden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a.a.O., Rz. 613 ff.).</w:t>
      </w:r>
    </w:p>
    <w:p>
      <w:r>
        <w:rPr>
          <w:b/>
        </w:rPr>
        <w:t>E. 8.1</w:t>
      </w:r>
    </w:p>
    <w:p>
      <w:r>
        <w:t>Das öffentliche Interesse an einer Fernhaltung des Beschwerdeführers ist schon aus präventivpolizeilicher Sicht als gewichtig einzustufen. Ausländische Personen, die sich während ihrer Anwesenheit hierzulande (u.a.) einem Verbrechen wie der versuchten vorsätzlichen Tötung schuldig machen, sind wenn immer möglich von der Schweiz fernzuhalten. Es gilt durch eine kontinuierliche und konsequente Verwaltungspraxis zu verdeutlichen, dass solche Delinquenz zum Schutz der öffentlichen Sicherheit und Ordnung in aller Regel Fernhaltemassnahmen zur Folge hat. Kommt hinzu, dass der Beschwerdeführer mit seiner Tat gegen das Rechtsgut Leib und Leben die öffentliche Ordnung in einem besonders sensiblen bzw. schützenswerten Bereich verletzte, was erst recht einen strengen Massstab rechtfertigt (vgl. Urteil des BVGer C-1599/2010 vom 24. Juni 2011 E. 7.1 mit Hinweis; zur Praxis des Bundesgerichts bei schwerer Delinquenz siehe ferner BGE 131 II 352 E. 4.3.1 S. 359 f. und BGE 125 II 521 E. 4a/aa S. 526 f. oder Urteil 2C_282/2012 vom 31. Juli 2012 E. 2.5 mit weiteren Hinweisen).</w:t>
      </w:r>
    </w:p>
    <w:p>
      <w:r>
        <w:rPr>
          <w:b/>
        </w:rPr>
        <w:t>E. 8.2</w:t>
      </w:r>
    </w:p>
    <w:p>
      <w:r>
        <w:t>Auch in subjektiver Hinsicht wiegt das Fehlverhalten des Beschwerdeführers ausgesprochen schwer. Nach den strafrichterlichen Feststellungen hat er am 23. November 2006 einem Landsmann mit einer Faustfeuerwaffe inmitten eines Wohnquartiers aus zwei bis drei Metern Distanz bewusst in den Brustbereich geschossen. Das Opfer erlitt dabei lebensgefährliche innere Blutungen. Nach der Tat transportierte der Beschwerdeführer die ihm bekannte Person ins Kantonsspital, das sich in unmittelbarer Nähe des Tatortes befand. Dank rasch erfolgter medizinischer Hilfe ist das Opfer mit dem Leben davon gekommen. Hauptursachen der Schussabgabe bildeten ein Streit unter den Kontrahenten wegen eines Darlehens sowie Avancen des Beschwerdeführers an die Ehefrau des Opfers. Das Obergericht des Kantons Glarus kam in seinem Urteil vom 3. Juli 2009 zum Schluss, dass der Beschwerdeführer vorsätzlich auf einen Menschen geschossen hat. Dementsprechend erachtete es das Verschulden des Täters als sehr schwer. Mit seiner Tat habe er eine rücksichtslose Gesinnung gegenüber dem höchsten Rechtsgut, dem menschlichen Leben, offenbart. Sein Einsichts- und Steuerungsvermögen sei dabei in keiner Weise eingeschränkt gewesen und auch eine Notwehrsituation habe nicht vorgelegen. Vielmehr habe er gezielt eine Entscheidung gesucht und den Tod des Opfers gewollt. Dass der Beschwerdeführer das Opfer nach der Tat rasch medizinischer Hilfe zuführte, hat das Glarner Obergericht zwar strafmindernd berücksichtigt, jedoch an der Qualifikation der Tathandlung als vorsätzlich und am schweren Verschulden festgehalten. Angesichts dessen ist dem öffentlichen Interesse an einer langjährigen Fernhaltung folglich grosses Gewicht beizumessen.</w:t>
      </w:r>
    </w:p>
    <w:p>
      <w:r>
        <w:rPr>
          <w:b/>
        </w:rPr>
        <w:t>E. 8.3</w:t>
      </w:r>
    </w:p>
    <w:p>
      <w:r>
        <w:t>Der Rechtsvertreter macht in diesem Zusammenhang geltend, sein Mandant habe ein einziges Mal gegen das Gesetz verstossen. Seit besagter Tat sei jener nicht mehr straffällig geworden und im Strafvollzug habe er sich wohl verhalten. Also stelle er kein Risiko für die innere und äussere Sicherheit der Schweiz mehr dar. Mit diesen Vorbringen verkennt der Beschwerdeführer, dass für die Berechnung der Dauer des klaglosen Verhaltens nicht auf den Begehungs- oder Urteilszeitpunkt abzustellen ist. Von vorrangiger Bedeutung ist vielmehr, wie lange sich eine straffällig gewordene Person nach ihrer Entlassung aus der Haft in Freiheit bewährt hat (vgl. BVGE 2008/24 E. 6.2). Die bedingte Entlassung des Beschwerdeführers aus dem Strafvollzug erfolgte am 5. November 2011 und die Probezeit endete in seinem Fall am 16. Dezember 2012. Es versteht sich von selbst, dass die seit seiner Haftentlassung abgelaufene Bewährungszeit - mit Blick auf die von ihm verletzten Rechtsgüter - sich mithin als viel zu kurz präsentiert, als dass bereits eine grundlegende und gefestigte Wandlung angenommen werden könnte (BGE 130 II 493 E. 5.4 S. 504). Im Übrigen zeugen die neuerlichen Versuche des Beschwerdeführers in der Rechtsmitteleingabe vom 17. November 2011, das Vorgefallene als Notwehrhandlung zu charakterisieren, von einer nach wie vor fehlenden Einsicht in das Unrecht seiner Tat. Hinzu kommt die obergerichtlich festgestellte Affinität zu Waffen. Wie schon dargetan (siehe E. 8.1 vorstehend), hat die Allgemeinheit einen Anspruch darauf, vor Delikten gegen Leib und Leben in besonderem Masse geschützt zu werden. Vor diesem Hintergrund vermag das geltend gemachte Wohlverhalten das erhebliche öffentliche Interesse an der Fernhaltung nicht zu beeinflussen.</w:t>
      </w:r>
    </w:p>
    <w:p>
      <w:r>
        <w:rPr>
          <w:b/>
        </w:rPr>
        <w:t>E. 8.4</w:t>
      </w:r>
    </w:p>
    <w:p>
      <w:r>
        <w:t>Angesichts der vorstehenden Ausführungen kann nicht ernsthaft in Frage gestellt werden, dass vom Beschwerdeführer eine schwerwiegende Gefahr für die öffentliche Sicherheit und Ordnung ausgeht, welche die Verhängung einer Fernhaltemassnahme von einer fünf Jahre überschreitenden Dauer zulässt (Art. 67 Abs. 3 AuG).</w:t>
      </w:r>
    </w:p>
    <w:p>
      <w:r>
        <w:rPr>
          <w:b/>
        </w:rPr>
        <w:t>E. 9</w:t>
      </w:r>
    </w:p>
    <w:p>
      <w:r>
        <w:t>Hinsichtlich seiner persönlichen Interessen argumentiert der Beschwerdeführer, das unbefristete Einreiseverbot schränke sein Familienleben in unzulässiger Weise ein. Zudem verweist er auf die psychisch belastende Situation der in der Schweiz verbliebenen Angehörigen sowie das Kindeswohl.</w:t>
      </w:r>
    </w:p>
    <w:p>
      <w:r>
        <w:rPr>
          <w:b/>
        </w:rPr>
        <w:t>E. 9.1</w:t>
      </w:r>
    </w:p>
    <w:p>
      <w:r>
        <w:t>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(vgl. Urteil des BVGer C-8562/2010 vom 11. Oktober 2012 E. 7.2 mit Hinweis). Die Erteilung und Verlängerung entsprechender Bewilligungen fällt grundsätzlich in die Zuständigkeit der Kantone, wobei im Falle einer Bewilligungserteilung das bestehende Einreiseverbot aufzuheben wäre (vgl. Urteil des Bundesgerichts 2C_793/2008 vom 27. März 2009 E. 3.2 mit Hinweisen). Die Niederlassungsbewilligung des Beschwerdeführers wurde von der kantonalen Migrationsbehörde am 16. Oktober 2009 widerrufen (letztinstanzlich be-stätigt durch das Urteil des Verwaltungsgerichts des Kantons Glarus vom 6. April 2011). Die Pflege regelmässiger persönlicher Kontakte zur Familie scheitert damit bereits am fehlenden Anwesenheitsrecht. Somit stellt sich nurmehr die Frage, ob das über die Verweigerung des Aufenthaltsrechts hinausgehende, durch das Einreiseverbot bewirkte Erschwernis vor Art. 8 EMRK bzw. Art. 13 Abs. 1 BV standhält.</w:t>
      </w:r>
    </w:p>
    <w:p>
      <w:r>
        <w:rPr>
          <w:b/>
        </w:rPr>
        <w:t>E. 9.2</w:t>
      </w:r>
    </w:p>
    <w:p>
      <w:r>
        <w:t>Mit dem Wegfall der Niederlassungsbewilligung und damit seines Anwesenheitsrechts hierzulande ist der Beschwerdeführer der normalen ausländerrechtlichen Gesetzgebung unterstellt, wie sie gegenüber türkischen Staatsangehörigen ganz allgemein zur Anwendung gelangt. Demnach braucht er selbst für besuchsweise Einreisen in die Schweiz ein Visum. Der zusätzliche Aufwand, der mit der gleichzeitigen Beantragung einer Suspension des Einreiseverbots (Art. 67 Abs. 5 AuG) zusammenhängt, erscheint angesichts der auf dem Spiele stehenden öffentlichen Interessen keineswegs als unverhältnismässig.</w:t>
      </w:r>
    </w:p>
    <w:p>
      <w:r>
        <w:rPr>
          <w:b/>
        </w:rPr>
        <w:t>E. 9.3</w:t>
      </w:r>
    </w:p>
    <w:p>
      <w:r>
        <w:t>Wie eben angetönt, steht dem Beschwerdeführer die Möglichkeit offen, aus wichtigen Gründen - worunter auch familiäre Gründe fallen - um zeitweilige Aussetzung der angeordneten Fernhaltemassnahme zu ersuchen (Art. 67 Abs. 5 AuG). Die Suspension wird aber praxisgemäss nur für eine kurze und klar begrenzte Zeit gewährt (zum Ganzen vgl. Urteil des BVGer C-4509/2009 vom 7. Januar 2010 E. 7.4 mit Hinweisen). Dem Rechtsvertreter ist insofern zuzustimmen, als sein Mandant dadurch Frau und Kinder nicht in regelmässigen Abständen in der Schweiz treffen kann, zumal eine Suspension nicht jeder Zeit und voraussetzungslos gewährt wird. Als in erster Linie administratives Erschwernis kann sie nämlich nicht derart weitgehende Rechte schaffen, die dem Beschwerdeführer die Teilnahme an jeglichen wichtigen Anlässen der hier ansässigen nächsten Angehörigen ermöglichen. Die restriktive Handhabung dieses Instruments soll gerade verhindern, dass ein bestehendes Einreiseverbot mittels Suspension derart ausgehöhlt wird, dass es als solches seinen Zweck verliert (vgl. Urteil des BVGer C-943/2012 vom 26. November 2012 E. 7.1). Soweit der Rechtsvertreter einwendet, es sei ungewiss, ob die Vorinstanz jeden Besuch bewilligen werde, nimmt er allerdings auf spekulative Weise das mögliche Ergebnis einer Gesuchsbehandlung vorweg, die mit einer Verfügung endet und im verweigernden Falle auf dem Rechtsmittelweg angefochten werden kann.</w:t>
      </w:r>
    </w:p>
    <w:p>
      <w:r>
        <w:rPr>
          <w:b/>
        </w:rPr>
        <w:t>E. 9.4</w:t>
      </w:r>
    </w:p>
    <w:p>
      <w:r>
        <w:t>Im dargelegten Umfang und Rahmen kann den geltend gemachten privaten Interessen indessen Rechnung getragen werden. Ausserdem sei darauf hingewiesen, dass der türkischstämmigen Ehefrau zumutbar ist, den Beschwerdeführer in Begleitung ihrer Kinder dazwischen in der Türkei zu besuchen und die Kontakte daneben auf andere Weise aufrecht zu erhalten (Telefonate, Videotelefonie, Briefe, SMS, etc.). Dem mitzuberücksichtigenden Wohl der Kinder (vgl. Art. 3 Abs. 1 des Übereinkommens vom 20. November 1989 über die Rechte des Kindes [SR 0.107]) wird damit Genüge getan. Abgesehen davon wurden die Fragen betreffend Zumutbarkeit der Rückkehr der Familie ins Heimatland des Beschwerdeführers bzw. die psychischen Probleme der Betroffenen wegen der faktischen Trennung der Familie im Verfahren bezüglich Widerrufs der Niederlassungsbewilligung abgehandelt und bilden in casu nicht Verfahrensgegenstand (vgl. das diesbezügliche Urteil des Verwaltungsgerichts des Kantons Glarus vom 6. April 2011). Der Vollständigkeit halber sei angemerkt, dass sich die Gattin laut den kantonalen Akten inzwischen in der Türkei hat scheiden lassen. Eine Übersetzung des türkischen Urteils liegt jedoch noch nicht vor.</w:t>
      </w:r>
    </w:p>
    <w:p>
      <w:r>
        <w:rPr>
          <w:b/>
        </w:rPr>
        <w:t>E. 9.5</w:t>
      </w:r>
    </w:p>
    <w:p>
      <w:r>
        <w:t>Selbst wenn von einem unter dem Gesichtspunkt von Art. 13 Abs. 1 BV und Art. 8 EMRK relevanten Eingriff ausgegangen würde, wäre ein solcher unter den konkreten Begebenheiten gestützt auf Art. 8 Ziff. 2 EMRK als gerechtfertigt zu qualifizieren. Das deliktische Verhalten des Beschwerdeführers erreicht zweifellos die erforderliche Schwere, um unter besagtem Blickwinkel einen Eingriff in das Privat- und Familienleben zu begründen (vgl. Urteil des BVGer C-3593/2009 vom 18. Juni 2012 E. 7.3 mit Hinweisen).</w:t>
      </w:r>
    </w:p>
    <w:p>
      <w:r>
        <w:rPr>
          <w:b/>
        </w:rPr>
        <w:t>E. 10</w:t>
      </w:r>
    </w:p>
    <w:p>
      <w:r>
        <w:t>Ein Einreiseverbot wird auf unbestimmte Dauer verhängt, wenn zum Zeitpunkt seiner Anordnung keine zuverlässige Prognose darüber abgegeben werden kann, wie lange seitens der betroffenen Person ein Risiko für die öffentliche Sicherheit und Ordnung ausgehen wird. Treten wesentliche neue Sachumstände ein oder verhält sich der Massnahmebelastete während längerer Zeit klaglos, so kann dies zum Anlass für einen Antrag auf wiedererwägungsweise Überprüfung durch die Vorinstanz genommen werden (vgl. dazu BVGE 2008/24 E. 4.3 und 6.2 je mit Hinweisen). Zum jetzigen Zeitpunkt lässt sich, nur schon wegen der viel zu kurzen Bewährungszeit (siehe E. 8.3 vorstehend), keine derartige Prognose abgeben. Vielmehr ist vom Beschwerdeführer zu verlangen, sich vorerst während geraumer Zeit im Ausland zu bewähren. Die unbefristete Anordnung ist somit nicht zu beanstanden.</w:t>
      </w:r>
    </w:p>
    <w:p>
      <w:r>
        <w:rPr>
          <w:b/>
        </w:rPr>
        <w:t>E. 11</w:t>
      </w:r>
    </w:p>
    <w:p>
      <w:r>
        <w:t>Eine wertende Gewichtung der sich gegenüberstehenden Interessen führt das Bundesverwaltungsgericht zum Schluss, dass das auf unbestimmte Dauer erlassene Einreiseverbot eine verhältnismässige und angemessene Massnahme zum Schutz der öffentlichen Sicherheit und Ordnung darstellt.</w:t>
      </w:r>
    </w:p>
    <w:p>
      <w:r>
        <w:rPr>
          <w:b/>
        </w:rPr>
        <w:t>E. 12</w:t>
      </w:r>
    </w:p>
    <w:p>
      <w:r>
        <w:t>Schliesslich beklagt der Beschwerdeführer, mit seiner Ehefrau und den Kindern wegen des Einreiseverbots auch nicht in irgendeinem anderen europäischen Land Ferien verbringen zu können. Aufgrund der Ausschreibung des Einreiseverbots im SIS ist es dem Beschwerdeführer in der Tat untersagt, den Schengen-Raum zu betreten (Art. 5 Abs. 1 Bst. d SGK). Der darin liegende Eingriff ist aber durch die Bedeutung des Falles gerechtfertigt (vgl. Art. 96 Abs. 2 Bst. a SDÜ). Diese Feststellung gilt umso mehr, als die Schweiz im Geltungsbe­reich des Schengen-Rechts nicht nur die eigenen Interessen zu wahren hat, sondern im Sinne einer getreuen Sachwalterin die Interessen der Ge­samtheit aller Schengen-Staaten (BVGE 2011/48 E. 6.1). Im Übrigen wird die Ausschrei­bung eines Einreiseverbots im SIS periodisch auf seine Berechtigung überprüft (Art. 112 Abs. 1 SDÜ) und hindert einen Schengen-Staat nicht daran, der ausgeschriebenen Person die Einreise in das eigene Hoheitsge­biet aus humanitären Gründen, Gründen des nationalen Interes­ses oder aufgrund völkerrechtlicher Verpflichtungen zu gestatten (Art. 5 Abs. 4 Bst. d SGK). Überdies gilt die SIS-Ausschreibung nicht für alle europäischen Länder, sondern nur für den Schengen-Raum.</w:t>
      </w:r>
    </w:p>
    <w:p>
      <w:r>
        <w:rPr>
          <w:b/>
        </w:rPr>
        <w:t>E. 13</w:t>
      </w:r>
    </w:p>
    <w:p>
      <w:r>
        <w:t>Aus diesen Erwägungen folgt, dass die angefochtene Verfügung im Lichte von Art. 49 VwVG nicht zu beanstanden ist. Die Beschwerde ist deshalb abzuweisen.</w:t>
      </w:r>
    </w:p>
    <w:p>
      <w:r>
        <w:rPr>
          <w:b/>
        </w:rPr>
        <w:t>E. 14</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