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C-6252/2014 vom 8. September 2016</w:t>
      </w:r>
    </w:p>
    <w:p>
      <w:r>
        <w:t>Bundesverwaltungsgericht, 2016-09-08, DE</w:t>
      </w:r>
    </w:p>
    <w:p>
      <w:r>
        <w:rPr>
          <w:b/>
        </w:rPr>
        <w:t xml:space="preserve">Quelle: </w:t>
      </w:r>
      <w:r>
        <w:t>https://mcp.opencaselaw.ch/entscheid/bvger_C-6252_2014</w:t>
      </w:r>
    </w:p>
    <w:p>
      <w:r>
        <w:t>FR: TAF C-6252/2014 du 8 septembre 2016</w:t>
      </w:r>
    </w:p>
    <w:p>
      <w:r>
        <w:t>IT: TAF C-6252/2014 del 8 settembre 2016</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27. Oktober 2014 gegen die als Verfügung im Sinn von Art. 5 Abs. 1 VwVG zu qualifizierende Anordnung der Vorinstanz vom 24. September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(vgl. BGE 131 V 164 E. 2.1) bildet die Verfügung der Vorinstanz vom 24. September 2014, mit welcher im Rahmen der Überprüfung der Aufnahmebedingungen alle drei Jahre der Publikumspreis (PP) des von der Beschwerdeführerin vertriebenen Arzneimittels B._______ unter alleiniger Anwendung des TQV per 1. November 2014 um 12.5 % gesenkt wurde. Umstritten und zu prüfen ist die angeordnete Preissenkung, insbesondere ob die Vorinstanz den TQV rechtskonform durchgeführt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19. September 2014 geltenden materiellen Bestimmungen (vgl. Urteil des BVGer C-2979/2008 vom 1. Dezember 2010 E. 4.1). Dazu gehören neben dem KVG (SR 832.10) in der Fassung vom 21. Juni 2013, in Kraft seit 1. März 2014, insbesondere die KVV (SR 832.102) in der Fassung vom 29. November 2013, in Kraft seit 1. März 2014, und die KLV (SR 832.112.31) in der Fassung vom 16. Mai 2014, in Kraft seit 1. Juli 2014.</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Nach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5</w:t>
      </w:r>
    </w:p>
    <w:p>
      <w:r>
        <w:t>Nicht strittig ist, dass B._______ nach wie vor über eine gültige Zulassung des Heilmittelinstituts (Swissmedic) verfügt (siehe auch die Liste der zugelassenen Präparate auf www.swissmedic.ch, abgerufen am 26. August 2016) und die Zulassungsvoraussetzungen der Wirksamkeit und Zweckmässigkeit noch erfüllt. Umstritten und zu prüfen ist die Beurteilung der Wirtschaftlichkeit im Rahmen der dreijährlichen Überprüfung.</w:t>
      </w:r>
    </w:p>
    <w:p>
      <w:r>
        <w:rPr>
          <w:b/>
        </w:rPr>
        <w:t>E. 5.1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5.2</w:t>
      </w:r>
    </w:p>
    <w:p>
      <w:r>
        <w:t>Nach Art. 34 Abs. 2 KLV («Wirtschaftlichkeit») werden für die Beurteilung der Wirtschaftlichkeit eines Arzneimittels berücksichtigt: a.dessen Fabrikabgabepreis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 31 Abs. 2 Bst. a und b KLV ein Innovationszuschlag für die Dauer von höchstens 15 Jahren, in dem die Kosten für Forschung und Entwicklung angemessen zu berücksichtigen sind.</w:t>
      </w:r>
    </w:p>
    <w:p>
      <w:r>
        <w:rPr>
          <w:b/>
        </w:rPr>
        <w:t>E. 5.3</w:t>
      </w:r>
    </w:p>
    <w:p>
      <w:r>
        <w:t>Bei der Beurteilung der Wirtschaftlichkeit im Rahmen der dreijährlichen Überprüfung wird nach Art. 65d Abs. 1bis KVV (in der hier massgebenden von 1. Juni 2013 bis 31. Mai 2015 in Kraft gestandenen Fassung [AS 2013 1353; AS 2015 1255] der Vergleich mit anderen Arzneimitteln nur durchgeführt, wenn der Vergleich mit der Preisgestaltung im Ausland nicht möglich ist (Bst. a) oder seit der Überprüfung der Aufnahmebedingungen eine Preissenkung nach Art. 65f Abs. 2 KVV vorgenommen wurde (Bst. b). Ergibt die Überprüfung der Wirtschaftlichkeit aufgrund der umsatzstärksten Packung, dass der geltende Höchstpreis zu hoch ist, so verfügt das BAG auf den 1. November des Überprüfungsjahres eine angemessene Preissenkung (Art. 65d Abs. 2 KVV).</w:t>
      </w:r>
    </w:p>
    <w:p>
      <w:r>
        <w:rPr>
          <w:b/>
        </w:rPr>
        <w:t>E. 5.4</w:t>
      </w:r>
    </w:p>
    <w:p>
      <w:r>
        <w:t>Das Bundesgericht hat in BGE 142 V 26 bezüglich dreijährlicher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Art. 65d Abs. 1bis KVV (in der von 1. Juni 2013 bis 31. Mai 2015 in Kraft gestandenen Fassung), welcher im Regelfall eine ausschliesslich preisbezogene Überprüfung mittels APV vorsieht, hält vor dem Legalitätsprinzip nicht stand (E. 5.4).</w:t>
      </w:r>
    </w:p>
    <w:p>
      <w:r>
        <w:rPr>
          <w:b/>
        </w:rPr>
        <w:t>E. 6</w:t>
      </w:r>
    </w:p>
    <w:p>
      <w:r>
        <w:t>B._______ ist unbestrittenermassen im Ausland nicht im Handel, weshalb im Rahmen der dreijährlichen Überprüfung hier keine umfassende Wirtschaftlichkeitsprüfung mit APV und TQV vorgenommen werden kann, sondern der Preis ausschliesslich auf der Grundlage eines TQV zu beurteilen ist. Unter den Parteien ist umstritten, welche Arzneimittel in den TQV im konkreten Fall miteinzubeziehen sind.</w:t>
      </w:r>
    </w:p>
    <w:p>
      <w:r>
        <w:rPr>
          <w:b/>
        </w:rPr>
        <w:t>E. 6.1</w:t>
      </w:r>
    </w:p>
    <w:p>
      <w:r>
        <w:t>Die Vorinstanz hat B._______ im Rahmen des TQV gestützt auf das Kriterium der «gleichen Indikation» mit den beiden Arzneimitteln D._______ und C._______ verglichen. In der angefochtenen Verfügung hält sie im Wesentlichen fest, dass sich die massgebende Indikation aus der Zulassung von Swissmedic bzw. der Fachinformation ergebe, die sich auf klinische Studien stützten. Die Indikationen der Vergleichspräparate sollten möglichst gleich sein, müssten sich aber nicht vollständig decken. D._______ und C._______ verfügten über praktisch deckungsgleiche Indikationen wie B._______. Die von der Beschwerdeführerin als Vergleichspräparate vorgeschlagenen F._______ und E._______ seien dagegen von Swissmedic lediglich für eine der vier Indikationen von B._______ zugelassen, weshalb die Vergleichbarkeit nicht gegeben sei. Weiter führt die Vorinstanz aus, dass für den TQV nicht auf beide Kriterien «gleiche Indikation» und «ähnliche Wirkungsweise» abzustellen sei. Es sei entweder die Indikation oder die Wirkungsweise für den TQV zu berücksichtigen. In ihrer Vernehmlassung präzisierte sie hierzu, dass Art. 34 Abs. 2 Bst. a und b (richtig: b und c) KLV keine Priorisierung der Kriterien vorsehe. Nach ihrer Praxis werde jedoch häufiger nach dem Kriterium der Indikation verglichen, zumal dieses von Swissmedic klar definiert sei und weniger Interpretationsspielraum zulasse. Im Übrigen sei auch die Wirkungsweise von F._______ und E._______ nicht mit derjenigen von B._______ vergleichbar, weshalb der umstrittene TQV auch dem Kriterium der «ähnlichen Wirkungsweise» genüge. Die für den TQV berücksichtigten Arzneimittel würden in einer eher unspezifischen Weise die (...) oder das Wachstum von (...) hemmen und so zur Symptomverbesserung bei (...) beitragen. E._______ und F._______(wie auch H._______) seien dagegen (...), die spezifisch in (...) eingreifen würden. Weiter weist die Vorinstanz darauf hin, dass die unterschiedliche Wirkungsweise und die unterschiedliche Indikation der Grund sei, weshalb Swissmedic F._______ und E._______ in die Abgabekategorie B, die im TQV berücksichtigten Arzneimittel dagegen in der Abgabekategorie D eingeteilt habe.</w:t>
      </w:r>
    </w:p>
    <w:p>
      <w:r>
        <w:rPr>
          <w:b/>
        </w:rPr>
        <w:t>E. 6.2</w:t>
      </w:r>
    </w:p>
    <w:p>
      <w:r>
        <w:t>Die Beschwerdeführerin verlangt, dass B._______ mit allen (...) der therapeutischen Gruppe (IT-Gruppe) (...) (...), neben C._______ und D._______ somit auch mit F._______ und E._______, zu vergleichen sei. Replikweise machte sie zudem geltend, dass auch H._______ für den TQV heranzuziehen sei. Sie beanstandet im Wesentlichen, dass die Vorinstanz die Vergleichbarkeit der Arzneimittel allein aufgrund des Wortlauts der Zulassung von Swissmedic und damit nur aufgrund klinischer Studien beurteile. Vielmehr seien auch tatsächlich therapeutisch alternativ verwendete Arzneimittel zu berücksichtigen. Die diagnosebezogenen Verschreibungszahlen belegten, dass F._______ und E._______ echte therapeutische Alternativen zu B._______ seien. In der Realität seien die Kriterien «gleiche Indikation und/oder ähnliche Wirkungsweise» gegeben, womit Vergleichbarkeit vorliege. Die Vorinstanz habe generell bei Wirtschaftlichkeitsüberlegungen nicht allein auf Daten aus klinischen Studien abgestellt, sondern auch auf klinische Anwendungsdaten. Diese Position könne sie nun im Rahmen der vorliegenden Preisüberprüfung nicht einfach ablegen. Weiter sieht die Beschwerdeführerin ihren Anspruch auf rechtliches Gehör verletzt, weil die Vorinstanz es ihr verwehre, mit Schweizer Daten die konkrete Anwendung der für den TQV vorgeschlagenen Arzneimittel zu belegen. Die Beschwerdeführerin geht davon aus, dass Art. 34 Abs. 2 KLV keine Priorisierung der Kriterien der gleichen Indikation und der ähnlichen Wirkungsweise vorsehe. Zwar könnte in vielen Fällen nur auf ein Kriterium abgestellt werden, es sei aber nicht zulässig, für den TQV nur auf das Kriterium der gleichen Indikation abzustellen, wenn wie hier auch Arzneimittel mit ähnlicher Wirkungsweise zur Verfügung stünden. Die Vorinstanz dürfe in solchen Fällen das Kriterium nicht nach Gutdünken frei wählen, sondern es sei vielmehr die gleiche Indikation und die ähnliche Wirkungsweise heranzuziehen. Weiter macht die Beschwerdeführerin geltend, dass die wesentliche Indikation von F._______, E._______ und B._______ gleich sei. Aus Sicht des Arztes handle es sich um untereinander austauschbare (...) gegen (...). Aus den Fachinformationen ergebe sich, dass bei allen drei Arzneimitteln der Wirkmechanismus dazu diene, die Ursachen (...) zu beseitigen. Die Indikation meine immer die Beeinträchtigung durch (...), unabhängig davon, ob man die Krankheit dahinter (...) oder einfach direkt (...) nenne. Es handle sich lediglich um unterschiedliche Diagnosebegrifflichkeiten, was keinen Einfluss auf die Vergleichbarkeit haben dürfe. Gestützt auf das im Rahmen der Replik eingereichte Gutachten macht die Beschwerdeführerin zudem geltend, dass bei F._______ und E._______ nicht bloss faktisch, sondern auch heilmittelrechtlich die gleiche Indikation wie bei B._______ vorliege. Es liege somit keine off-label Anwendung vor. Auch sei bei F._______ und E._______ von einer ähnlichen Wirkungsweise wie bei B._______ auszugehen.</w:t>
      </w:r>
    </w:p>
    <w:p>
      <w:r>
        <w:rPr>
          <w:b/>
        </w:rPr>
        <w:t>E. 7</w:t>
      </w:r>
    </w:p>
    <w:p>
      <w:r>
        <w:t>Zunächst erfolgt ein Überblick über die zur Diskussion stehenden Arzneimittel:</w:t>
      </w:r>
    </w:p>
    <w:p>
      <w:r>
        <w:rPr>
          <w:b/>
        </w:rPr>
        <w:t>E. 7.1</w:t>
      </w:r>
    </w:p>
    <w:p>
      <w:r>
        <w:t>B._______ ist seit (...) im Sinne des Heilmittelgesetzes vom 15. Dezember 2000 (HMG, SR 812.21) laut der Fachinformation für die folgenden Indikationen zugelassen: (...). Bei B._______ handelt es sich um ein nicht verschreibungspflichtiges Arzneimittel der Abgabekategorie D (Abgabe nach Fachberatung; Art. 26 der Arzneimittelverordnung vom 17. Oktober 2001 [VAM, SR 812.212.21]). Es ist in der IT-Gruppe (...) (...) der Spezialitätenliste eingeteilt.</w:t>
      </w:r>
    </w:p>
    <w:p>
      <w:r>
        <w:rPr>
          <w:b/>
        </w:rPr>
        <w:t>E. 7.2</w:t>
      </w:r>
    </w:p>
    <w:p>
      <w:r>
        <w:t>Das von der Vorinstanz in den TQV miteinbezogene D._______ ist heilmittelrechtlich seit (...) zugelassen. Laut der Fachinformation bestehen folgende Indikationen: (...). D._______ befindet sich ebenfalls in der Abgabekategorie D sowie in der IT-Gruppe (...).</w:t>
      </w:r>
    </w:p>
    <w:p>
      <w:r>
        <w:rPr>
          <w:b/>
        </w:rPr>
        <w:t>E. 7.3</w:t>
      </w:r>
    </w:p>
    <w:p>
      <w:r>
        <w:t>Dem weiteren in den TQV miteinbezogenen C._______ wurde die heilmittelrechtliche Zulassung in der Zwischenzeit per (...) entzogen, und es wurde per (...) aus der Spezialitätenliste gestrichen. Laut Fachinformation war C._______ für folgende Indikationen heilmittelrechtlich zugelassen: (...). Bei C._______ handelte es sich ebenfalls um ein Arzneimittel der Abgabekategorie D, das der IT-Gruppe (...) zugeteilt war.</w:t>
      </w:r>
    </w:p>
    <w:p>
      <w:r>
        <w:rPr>
          <w:b/>
        </w:rPr>
        <w:t>E. 7.4</w:t>
      </w:r>
    </w:p>
    <w:p>
      <w:r>
        <w:t>Das von der Beschwerdeführerin für den TQV vorgeschlagene F._______ ist seit dem (...) heilmittelrechtlich laut der Fachinformation für die Indikation (...) zugelassen. Es ist in der Abgabekategorie B (Abgabe auf ärztliche Verschreibung; Art. 24 VAM) und in der IT-Gruppe (...) eingeteilt.</w:t>
      </w:r>
    </w:p>
    <w:p>
      <w:r>
        <w:rPr>
          <w:b/>
        </w:rPr>
        <w:t>E. 7.5</w:t>
      </w:r>
    </w:p>
    <w:p>
      <w:r>
        <w:t>E._______ ist seit (...) heilmittelrechtlich laut der Fachinformation für die Indikation (...) zugelassen. Es handelt sich um ein Arzneimittel der Abgabekategorie B, das ebenfalls der IT-Gruppe (...) zugeteilt ist.</w:t>
      </w:r>
    </w:p>
    <w:p>
      <w:r>
        <w:rPr>
          <w:b/>
        </w:rPr>
        <w:t>E. 7.6</w:t>
      </w:r>
    </w:p>
    <w:p>
      <w:r>
        <w:t>H._______ ist seit (...) heilmittelrechtlich zugelassen und laut Fachinformation zur Behandlung und Rezidiv-Prophylaxe von Erkrankungen wie (...) indiziert. Es ist der Abgabekategorie B sowie der IT-Gruppe (...) (...) zugeteilt.</w:t>
      </w:r>
    </w:p>
    <w:p>
      <w:r>
        <w:rPr>
          <w:b/>
        </w:rPr>
        <w:t>E. 8</w:t>
      </w:r>
    </w:p>
    <w:p>
      <w:r>
        <w:t>Zu prüfen ist, ob der von der Vorinstanz durchgeführte TQV, insbesondere die Auswahl der Vergleichspräparate, den rechtlichen Anforderungen entspricht.</w:t>
      </w:r>
    </w:p>
    <w:p>
      <w:r>
        <w:rPr>
          <w:b/>
        </w:rPr>
        <w:t>E. 8.1</w:t>
      </w:r>
    </w:p>
    <w:p>
      <w:r>
        <w:t>Ein Arzneimittel gilt als wirtschaftlich, wenn es die «indizierte Heilwirkung» mit möglichst geringem finanziellen Aufwand gewährleistet (Art. 65b Abs. 1 KVV). Laut Art. 65b Abs. 2 KVV ist die Wirtschaftlichkeit eines Arzneimittels unter anderem aufgrund des «Vergleichs mit anderen Arzneimitteln» zu beurteilen. In Art. 34 Abs. 2 Bst. b und c KLV wird der Kreis der für den TQV heranzuziehenden Arzneimittel auf solche «gleicher Indikation oder ähnlicher Wirkungsweise» festgelegt.</w:t>
      </w:r>
    </w:p>
    <w:p>
      <w:r>
        <w:rPr>
          <w:b/>
        </w:rPr>
        <w:t>E. 8.2</w:t>
      </w:r>
    </w:p>
    <w:p>
      <w:r>
        <w:t>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8.3</w:t>
      </w:r>
    </w:p>
    <w:p>
      <w:r>
        <w:t>Mit den Beschwerdeparteien ist festzuhalten, dass Art. 34 Abs. 2 Bst. b und c KLV keine Priorisierung eines der Auswahlkriterien («gleich Indikation», «ähnliche Wirkungsweise») vorsieht. Aus dieser Bestimmung kann zudem nicht abgeleitet werden, dass mit dem TQV entweder ausschliesslich Arzneimittel gleicher Indikation oder ausschliesslich Arzneimittel ähnlicher Wirkungsweise zu vergleichen sind. Art. 34 Abs. 2 Bst. b und c KLV schreibt auch keine primäre und ausschliessliche Berücksichtigung von Arzneimitteln gleicher Indikation vor. Der Vorinstanz steht hinsichtlich des anwendbaren Kriteriums sowie bei der Auswahl der Vergleichspräparate ein weiter Ermessensspielraum zu (vgl. Urteil des BVGer C-6875/2014 vom 18. Juli 2016 E. 4.3.3). Art. 34 Abs. 2 Bst. b und c KLV ist somit nicht zu entnehmen, dass die Vorinstanz den TQV unter Anwendung beider Kriterien durchführen muss, wenn im konkreten Fall Arzneimittel mit gleicher Indikation und solche ähnlicher Wirkungsweise vorhanden sind. Es ist daher nicht grundsätzlich unzulässig, dass die Vorinstanz lediglich Vergleichspräparte gleicher Indikation herangezogen hat. Zu prüfen bleibt aber, ob die Vorinstanz bei der Auswahl der Vergleichspräparate ihr weites Ermessen sachgerecht ausgeübt hat.</w:t>
      </w:r>
    </w:p>
    <w:p>
      <w:r>
        <w:rPr>
          <w:b/>
        </w:rPr>
        <w:t>E. 8.4</w:t>
      </w:r>
    </w:p>
    <w:p>
      <w:r>
        <w:t>Die Vorinstanz ist der Ansicht, dass vorliegend nur Arzneimittel in den TQV miteinzubeziehen sind, die über möglichst identische Indikationen gemäss der Zulassung von Swissmedic verfügen. Im vorliegenden Fall ergibt sich aus den Fachinformationen, dass C._______ und D._______ über weitgehend identische Indikationen wie B._______ verfügen, was unbestritten ist. Dagegen weisen E._______ und F._______ nur die Indikation der (...) auf, währenddem B._______ laut Fachinformation zusätzlich für (...), (...) und (...) indiziert ist. Nach Art. 65b Abs. 1 KVV bezieht sich die Wirtschaftlichkeitsprüfung auf die «indizierte Heilwirkung» des zu prüfenden Arzneimittels, weshalb es angezeigt ist, sämtliche zugelassenen Indikationen von B._______ im Rahmen des TQV zu berücksichtigen. Insofern ist es nicht zu beanstanden, dass die Vorinstanz vorliegend jene Arzneimittel in den TQV miteinbezieht die möglichst sämtliche zugelassenen Indikationen von B._______ abdecken (vgl. dazu auch Felix Kesselring/Stefan Kohler, Aktuelles aus der Preissenkungspraxis des BAG, 25. September 2013, abrufbar unter www.vischer.com). Zudem ist es sachgerecht, dass die Vorinstanz dabei auf den Wortlaut der heilmittelrechtlichen Zulassung bzw. der entsprechenden Fachinformation abstellt, zumal ein Arzneimittel nur in den Grenzen der von Swissmedic zugelassenen Indikationen und Anwendungsvorschriften in die Spezialitätenliste aufgenommen werden darf (vgl. Gebhard Eugster, Krankenversicherung, in: Schweizerisches Bundesverwaltungsrecht [SBVR], Band XIV, Soziale Sicherheit, 3. Aufl. 2016, S. 622 Rz. 701).</w:t>
      </w:r>
    </w:p>
    <w:p>
      <w:r>
        <w:rPr>
          <w:b/>
        </w:rPr>
        <w:t>E. 8.5</w:t>
      </w:r>
    </w:p>
    <w:p>
      <w:r>
        <w:t>Sind wie hier zwei Vergleichspräparate mit weitgehend identischer zugelassener Indikation vorhanden, ist es nicht zu beanstanden, dass die Vorinstanz die Vergleichsgruppe nicht auf Arzneimittel ausdehnt, die zwar nicht nach der Swissmedic-Zulassung, aber nach Ansicht der Beschwerdeführerin in der Praxis über eine gleiche bzw. ähnliche Indikation verfügen. Diese in der Praxis gleiche bzw. ähnliche Indikation will die Beschwerdeführerin mittels diagnosebezogener Verschreibungszahlen belegen. Im Rahmen des TQV muss die therapeutische Gleichwertigkeit jedoch mit klinischen Studien belegt werden (vgl. Urteil des BVGer C-5912/2013 vom 30. April 2015 E. 8.2.1 [zur Publikation vorgesehen]; Thomas Gächter/Arlette Meienberger, Rechtsgutachten vom 8. Februar 2013 zuhanden der Parlamentarischen Verwaltungskontrolle zur Evaluation der Zulassung und Überprüfung von Medikamenten in der obligatorischen Krankenpflegeversicherung, S. 33 Rz. 46; SL-Handbuch C.2.1.4). Die Massgeblichkeit von Umsatzzahlen lässt sich auch nicht aus Art. 65f KVV ableiten, wie die Beschwerdeführerin anzunehmen scheint. Mit dem in Art. 65f KVV per 1. Juni 2013 eingeführten Prävelanzmodell, das vorsieht bei Indikationserweiterungen die Preissenkungen anhand des erwarteten Mehrumsatzes zu berechnen, verfolgte der Verordnungsgeber das Ziel, den Zulassungsinhaberinnen einen zusätzlichen Anreiz zu bieten, neu zugelassene Indikationen dem BAG mitzuteilen (vgl. BAG-Kommentar zu den Änderungen der KVV und der KLV per 1. Oktober 2009 und 1. Januar 2010, S. 4). Daraus lässt sich nicht entnehmen, dass bei der Wirtschaftlichkeitsprüfung generell auf Umsatzzahlen abzustellen ist. Im Übrigen hat die Beschwerdeführerin keine konkreten Fälle bezeichnet, die belegen, dass die Vorinstanz in der Praxis regelmässig auf Umsatzzahlen abstellt. Unter diesen Umständen ist nicht näher auf die von der Beschwerdeführerin eingereichten Daten einzugehen. Die in diesem Zusammenhang vorgebrachte Rüge der Verletzung des rechtlichen Gehörs ist unbegründet, zumal die Vorinstanz gegenüber der Beschwerdeführerin mehrmals erläutert hat, weshalb sie nicht auf die eingereichten Verschreibungsdaten abstellen will.</w:t>
      </w:r>
    </w:p>
    <w:p>
      <w:r>
        <w:rPr>
          <w:b/>
        </w:rPr>
        <w:t>E. 8.6</w:t>
      </w:r>
    </w:p>
    <w:p>
      <w:r>
        <w:t>Weiter weist die Vorinstanz zutreffend darauf hin, dass B._______ und die für den Vergleich berücksichtigten C._______ und D._______ in der Abgabekategorie D eingeteilt sind, währenddem es sich bei F._______ und E._______ um Arzneimittel der Abgabekategorie B handle. Laut Art. 23 Abs. 1 HMG werden die Arzneimittel in Kategorien mit und ohne Verschreibungspflicht eingeteilt. Der Bundesrat legt die Einteilungskriterien fest und Swissmedic ordnet jedes von ihr zugelassene Arzneimittel einer Kategorie zu (Art. 23 Abs. 3 HMG). Der Bundesrat hat Arzneimittel in die Abgabekategorie A-E eingeteilt, wobei die Abgabekategorie A dem höchsten, die Abgabekategorie E dem niedrigsten Gefährlichkeitsgrad entspricht (Heidi Bürgi, in: Kommentar zum Heilmittelgesetz, 2006, N 11 zu Art. 23). Swissmedic teilt die Wirkstoffe in Stofflisten ein, die diesen Abgabekategorien entsprechen (Art. 20 Abs. 1 VAM). Dabei sind die pharmakologische Wirkung, die akute und chronische Toxizität, die klinischen Erfahrungen (Verträglichkeit, unerwünschte Nebenwirkungen), das Anwendungsgebiet, das Missbrauchspotential sowie die Notwendigkeit einer ärztlichen Diagnose oder Überwachung der Therapie massgeblich (Art. 20 Abs. 2 VAM; Giger/Saxer/Wildi/Fritz, Arzneimittelrecht, 2013, S. 103 f.). Die Einteilung in unterschiedliche Abgabekategorien weist also auf heilmittelrechtlich relevante Unterschiede der entsprechenden Arzneimittel hin, weshalb die Vorgehensweise der Vorinstanz nachvollziehbar ist. Insgesamt ist die Einschränkung der Vergleichspräparate auf Arzneimittel mit praktisch identischer Indikation gemäss Swissmedic-Fachinformationen und der gleichen Abgabekategorie als im Rahmen des weiten Ermessen der Vorinstanz liegend zu betrachten. Auf die Ausführungen der Beschwerdeführerin zur Frage, ob es sich bei der beantragten Berücksichtigung von F._______ und E._______ um einen off-label-use oder um einen faktischen on-label-use handeln würde, ist daher nicht weiter einzugehen.</w:t>
      </w:r>
    </w:p>
    <w:p>
      <w:r>
        <w:rPr>
          <w:b/>
        </w:rPr>
        <w:t>E. 8.7</w:t>
      </w:r>
    </w:p>
    <w:p>
      <w:r>
        <w:t>Soweit die Beschwerdeführerin geltend macht, dass bei F._______ und E._______ nicht bloss in der Verschreibungspraxis, sondern auch heilmittelrechtlich die gleiche Indikation vorliege, vermag das nicht zu überzeugen. Die heilmittelrechtliche Zulassung nach Art. 9 HMG wird ausdrücklich für definierte Indikation(en) oder Anwendungsgebiete erteilt (vgl. Peter Mosimann/Markus Schott, in: Kommentar zum Heilmittelgesetz, 2006, N 20 zu Art. 9). Es ist der Vorinstanz daher nichts vorzuwerfen, wenn sie im Rahmen des TQV auf den Wortlaut der Fachinformationen abstellt. Wie die Beschwerdeführerin auch selbst einräumt, stimmt der Wortlaut der Indikationen in den Fachinformationen von F._______ und E._______ mit derjenigen von B._______ nicht überein (Rz. 34 der Beschwerde). Daher lässt sich auch aus dem Parteigutachten von Prof. Dr. med. G._______, mit dem die Beschwerdeführerin belegen will, dass die Indikationen von F._______ und E._______ mit denjenigen von B._______ im heilmittelrechtlichen Sinn entgegen dem Wortlaut der Fachinformationen identisch sind, nichts zu ihren Gunsten ableiten. Auf das Parteigutachten von Prof. Dr. med. G._______ ist unter diesen Umständen nicht weiter einzugehen. Es ist aber darauf hinzuweisen, dass selbst wenn von einer gleichen Indikation im von Prof. Dr. med. G._______ dargelegten Sinn auszugehen wäre, es an der Beschwerdeführerin läge, dies im entsprechenden heilmittelrechtlichen Verfahren nachzuweisen und die Fachinformation zu ändern. Dafür steht das Preisüberprüfungsverfahren nicht zur Verfügung.</w:t>
      </w:r>
    </w:p>
    <w:p>
      <w:r>
        <w:rPr>
          <w:b/>
        </w:rPr>
        <w:t>E. 8.8</w:t>
      </w:r>
    </w:p>
    <w:p>
      <w:r>
        <w:t>Da im vorliegenden Fall der von der Vorinstanz durchgeführte TQV mit C._______ und D._______ als Vergleichsmittel mit gleicher Indikation nicht zu beanstanden ist, kann offengelassen werden, ob bei F._______ und E._______- trotz heilmittelrechtlich eingeschränkterer, spezifischer Indikation sowie unterschiedlicher Abgabekategorie - von einer ähnlichen Wirkungsweise wie bei B._______ auszugehen ist.</w:t>
      </w:r>
    </w:p>
    <w:p>
      <w:r>
        <w:rPr>
          <w:b/>
        </w:rPr>
        <w:t>E. 8.9</w:t>
      </w:r>
    </w:p>
    <w:p>
      <w:r>
        <w:t>Aus dem Dargelegten folgt, dass der von der Vorinstanz durchgeführte TQV den Anforderungen von Art. 34 Abs. 2 Bst. b und c KLV entspricht. Folglich ist die Beschwerde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