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C-6250/2014 vom 17. Januar 2017</w:t>
      </w:r>
    </w:p>
    <w:p>
      <w:r>
        <w:t>Bundesverwaltungsgericht, 2017-01-17, DE</w:t>
      </w:r>
    </w:p>
    <w:p>
      <w:r>
        <w:rPr>
          <w:b/>
        </w:rPr>
        <w:t xml:space="preserve">Quelle: </w:t>
      </w:r>
      <w:r>
        <w:t>https://mcp.opencaselaw.ch/entscheid/bvger_C-6250_2014</w:t>
      </w:r>
    </w:p>
    <w:p>
      <w:r>
        <w:t>FR: TAF C-6250/2014 du 17 janvier 2017</w:t>
      </w:r>
    </w:p>
    <w:p>
      <w:r>
        <w:t>IT: TAF C-6250/2014 del 17 gennaio 2017</w:t>
      </w:r>
    </w:p>
    <w:p>
      <w:pPr>
        <w:pStyle w:val="Heading2"/>
      </w:pPr>
      <w:r>
        <w:t>Regeste</w:t>
      </w:r>
    </w:p>
    <w:p>
      <w:r>
        <w:t>Spezialitätenliste</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Auch der einverlangte Verfahrenskostenvorschuss in der Höhe von Fr. 4'000.- wurde rechtzeitig geleistet, weshalb auf die frist- und formgerecht eingereichte Beschwerde einzutreten ist (vgl. Art. 50 Abs. 1, Art. 52 und Art. 63 Abs. 4 VwVG).</w:t>
      </w:r>
    </w:p>
    <w:p>
      <w:r>
        <w:rPr>
          <w:b/>
        </w:rPr>
        <w:t>E. 2</w:t>
      </w:r>
    </w:p>
    <w:p>
      <w:r>
        <w:t>Ausgangspunkt und Anfechtungsobjekt der vorliegenden Streitigkeit bildet die Verfügung des BAG vom 24. September 2014 (BAG-act. 6 sowie Beilage 1 zu BVGer act. 1). Darin wurde unter Anwendung des Ausnahmetatbestandes von Art. 65d Abs. 1bis KVV und damit unter alleiniger Anwendung eines therapeutischen Quervergleichs (TQV) im Rahmen der Überprüfung der Aufnahmebedingungen des in der SL gelisteten Arzneimittels (...) B._______ 1. November 2014 eine Preissenkung von (...) % für dieses Arzneimittel verfügt. Die Beschwerdeführerin hat mit Beschwerde vom 27. Oktober 2014 beantragt, (1.) die Verfügung vom 24. September 2014 sei aufzuheben und (2.) der aktuelle Fabrikabgabepreis von B._______ sei als wirtschaftlich zu bestätigen (vgl. BVGer-act. 1 S. 2). Mit Replik vom 13. April 2015 hat sie Ziffer 2 ihrer Rechtsbegehren dahingehend modifiziert, dass der Fabrikabgabepreis von B._______ zu (...) als wirtschaftlich zu bestätigen sei, was einer Preissenkung im Umfang von (...) % entspreche (vgl. BVGer-act. 14 S. 2 und 8).</w:t>
      </w:r>
    </w:p>
    <w:p>
      <w:r>
        <w:rPr>
          <w:b/>
        </w:rPr>
        <w:t>E. 2.1</w:t>
      </w:r>
    </w:p>
    <w:p>
      <w:r>
        <w:t>Nach Ablauf der Beschwerdefrist können Begehren einer Beschwerde nicht mehr erweitert, sondern höchstens präzisiert, eingeengt oder fallengelassen werden (André Moser/Michael Beusch/Lorenz Kneubühler, Prozessieren vor dem Bundesverwaltungsgericht, 2. Aufl. 2013, S. 123 Rz. 2.218; Frank Seetaler/Fabia Bochsler, in: Praxiskommentar VwVG, 2009, Art. 52 N. 41). Die Beschwerdeführerin kann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Moser/Beusch/Kneubühler, a.a.O., S. 23 ff.). Auch wenn im Beschwerdeverfahren die angefochtene Verfügung beziehungsweise die im Verfügungsdispositiv geregelten Rechtsverhältnisse (vgl. BGE 125 V 413 E. 2a)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etwa Markus Müller, in: Kommentar zum Bundesgesetz über das Verwaltungsverfahren, Christoph Auer/Markus Müller/Benjamin Schindler [Hrsg.], 2008, Art. 44 VwVG N. 5).</w:t>
      </w:r>
    </w:p>
    <w:p>
      <w:r>
        <w:rPr>
          <w:b/>
        </w:rPr>
        <w:t>E. 2.2</w:t>
      </w:r>
    </w:p>
    <w:p>
      <w:r>
        <w:t>Indem sich die Beschwerdeführerin mit Replik vom 14. April 2014 mit einer Preissenkung von B._______ im Umfang von (...) % einverstanden erklärt, hat sie den Streitgegenstand eingeschränkt. Die vorgenommene Modifikation des Rechtsbegehrens ist daher ohne Weiteres zulässig. Formell angefochten bleibt damit zwar die gesamte Verfügung der Vorinstanz vom 24. September 2014, weil die Beschwerdeführerin nach wie vor deren Aufhebung fordert. An der ursprünglich geforderten Bestätigung des aktuellen Fabrikabgabepreises hält die Beschwerdeführerin indes nicht mehr fest. Streitgegenstand, der sich grundsätzlich durch den Gegenstand der angefochtenen Verfügung sowie die Parteibegehren bestimmt (BGE 133 II 35 E. 2), ist demnach die angeordnete Preissenkung, soweit sie (...) % übersteigt. Umstritten und zu prüfen ist dabei insbesondere, ob die Vorinstanz den TQV rechtskonform durchgeführt hat.</w:t>
      </w:r>
    </w:p>
    <w:p>
      <w:r>
        <w:rPr>
          <w:b/>
        </w:rPr>
        <w:t>E. 3.1</w:t>
      </w:r>
    </w:p>
    <w:p>
      <w:r>
        <w:t>Mit Beschwerde an das Bundesverwaltungsgericht kann gemäss Art. 49 VwVG gerügt werden, die angefochtene Verfügung verletze Bundesrecht, unter Einschluss des Missbrauchs oder der Überschreitung des Ermessens (Bst. a), beruhe auf einer unrichtigen oder unvollständigen Feststellung des rechtserheblichen Sachverhalts (Bst. b) oder sei unangemessen (Bst. c).</w:t>
      </w:r>
    </w:p>
    <w:p>
      <w:r>
        <w:rPr>
          <w:b/>
        </w:rPr>
        <w:t>E. 3.2</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w:t>
      </w:r>
    </w:p>
    <w:p>
      <w:r>
        <w:rPr>
          <w:b/>
        </w:rPr>
        <w:t>E. 3.2.1</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w:t>
      </w:r>
    </w:p>
    <w:p>
      <w:r>
        <w:rPr>
          <w:b/>
        </w:rPr>
        <w:t>E. 3.2.2</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den Entscheid der unteren Instanz zu überprüfen, sich aber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3.2.3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 &gt; Themen &gt; Versicherungen &gt; Krankenversicherung &gt; Bezeichnung der Leistungen &gt; Antragsprozesse &gt; Antragsprozesse Arzneimittel, zuletzt besucht am 10. Januar 2017)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den Richter nicht (vgl. BGE 122 V 249 E. 3d).</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3.4</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Verfügung, also am 24. September 2014 geltenden materiellen Bestimmungen. Dazu gehören einerseits namentlich das KVG in der nach Inkrafttreten der Änderung vom 1. März 2014 geltenden Fassung (AS 2014 387; BBl 2013 2459 2469), die KVV in der nach Inkrafttreten der Änderung vom 1. März 2014 geltenden Fassung (AS 2013 4523) und die KLV in der nach Inkrafttreten der Änderung vom 1. Juli 2014 geltenden Fassung (AS 2014 1251).</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die Gebühren oder Kosten nach Art. 71 KVV nicht rechtzeitig entrichtet werden (Bst. e), die Zulassungsinhaberin sich nach Aufforderung des BAG weigert, ihrer Meldepflicht gemäss Art. 65f Absatz 4 nachzukommen (Bst. f) oder die Zulassungsinhaberin sich weigert, erzielte Mehreinnahmen nach Artikel 67 Absatz 2ter einzuzahlen (Bst. g).</w:t>
      </w:r>
    </w:p>
    <w:p>
      <w:r>
        <w:rPr>
          <w:b/>
        </w:rPr>
        <w:t>E. 4.7</w:t>
      </w:r>
    </w:p>
    <w:p>
      <w:r>
        <w:t>Nach Art. 65d Abs. 1 KVV überprüft das BAG sämtliche Arzneimittel, die in der Spezialitätenliste aufgeführt sind, alle drei Jahre daraufhin, ob sie die Aufnahmebedingungen noch erfüllen. Nach Art. 35b KLV führt das BAG die Überprüfung nach Art. 65d Abs. 1 KVV einmal pro Kalenderjahr durch. Es überprüft dabei jeweils die Fabrikabgabepreise derjenigen Originalpräparate, die in absteigender Reihenfolge bis zum Jahr 1955 im Abstand von drei Jahren in die Spezialitätenliste aufgenommen wurden (Abs. 1). Davon ausgenommen sind Originalpräparate, die seit ihrer letzten Überprüfung der Aufnahmebedingungen einer Preisüberprüfung aufgrund einer Indikationserweiterung oder aufgrund einer Änderung oder Aufhebung einer Limitierung nach Art. 65f Abs. 2 zweiter Satz KVV unterzogen wurden. Das BAG führt die nächste Überprüfung dieser Originalpräparate im dritten Jahr nach der Preisüberprüfung aufgrund einer Indikationserweiterung oder aufgrund einer Änderung oder Aufhebung einer Limitierung durch (Abs. 2).</w:t>
      </w:r>
    </w:p>
    <w:p>
      <w:r>
        <w:rPr>
          <w:b/>
        </w:rPr>
        <w:t>E. 5</w:t>
      </w:r>
    </w:p>
    <w:p>
      <w:r>
        <w:t>Nicht strittig ist, dass B._______ nach wie vor über eine gültige Zulassung des Heilmittelinstituts (Swissmedic) verfügt (siehe auch die Liste der zugelassenen Präparate abrufbar unter www.swissmedic.ch &gt; Arzneimittel &gt; Zugelassene Präparate &gt; Human- und Tierarzneimittel, zuletzt besucht am 10. Januar 2017) und die Zulassungsvoraussetzungen der Wirksamkeit und Zweckmässigkeit noch erfüllt. Umstritten und zu prüfen ist die Beurteilung der Wirtschaftlichkeit im Rahmen der dreijährlichen Überprüfung.</w:t>
      </w:r>
    </w:p>
    <w:p>
      <w:r>
        <w:rPr>
          <w:b/>
        </w:rPr>
        <w:t>E. 5.1</w:t>
      </w:r>
    </w:p>
    <w:p>
      <w:r>
        <w:t>Ein Arzneimittel gilt nach Art. 65b KVV («Beurteilung der Wirtschaftlichkeit im Allgemeinen») als wirtschaftlich, wenn es die indizierte Heilwirkung mit möglichst geringem finanziellem Aufwand gewährleistet (Abs. 1). Die Wirtschaftlichkeit wird aufgrund des Vergleichs mit anderen Arzneimitteln und der Preisgestaltung im Ausland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5.2</w:t>
      </w:r>
    </w:p>
    <w:p>
      <w:r>
        <w:t>Nach Art. 34 Abs. 2 KLV («Wirtschaftlichkeit») werden für die Beurteilung der Wirtschaftlichkeit eines Arzneimittels berücksichtigt: a.dessen Fabrikabgabepreis im Ausland; b.dessen Wirksamkeit im Verhältnis zu anderen Arzneimitteln gleicher Indikation oder ähnlicher Wirkungsweise; c.dessen Kosten pro Tag oder Kur im Verhältnis zu den Kosten von Arzneimitteln gleicher Indikation oder ähnlicher Wirkungsweise; d.bei einem Arzneimittel im Sinne von Art. 31 Abs. 2 Bst. a und b KLV ein Innovationszuschlag für die Dauer von höchstens 15 Jahren, in dem die Kosten für Forschung und Entwicklung angemessen zu berücksichtigen sind.</w:t>
      </w:r>
    </w:p>
    <w:p>
      <w:r>
        <w:rPr>
          <w:b/>
        </w:rPr>
        <w:t>E. 5.3</w:t>
      </w:r>
    </w:p>
    <w:p>
      <w:r>
        <w:t>Bei der Beurteilung der Wirtschaftlichkeit im Rahmen der dreijährlichen Überprüfung wird nach Art. 65d Abs. 1bis KVV (in der hier massgebenden von 1. Juni 2013 bis 31. Mai 2015 in Kraft gestandenen Fassung [AS 2013 1353; AS 2015 1255]) der Vergleich mit anderen Arzneimitteln nur durchgeführt, wenn der Vergleich mit der Preisgestaltung im Ausland nicht möglich ist (Bst. a) oder seit der Überprüfung der Aufnahmebedingungen eine Preissenkung nach Art. 65f Abs. 2 KVV vorgenommen wurde (Bst. b). Ergibt die Überprüfung der Wirtschaftlichkeit aufgrund der umsatzstärksten Packung, dass der geltende Höchstpreis zu hoch ist, so verfügt das BAG auf den 1. November des Überprüfungsjahres eine angemessene Preissenkung (Art. 65d Abs. 2 KVV).</w:t>
      </w:r>
    </w:p>
    <w:p>
      <w:r>
        <w:rPr>
          <w:b/>
        </w:rPr>
        <w:t>E. 5.4</w:t>
      </w:r>
    </w:p>
    <w:p>
      <w:r>
        <w:t>Das Bundesgericht hat in BGE 142 V 26 bezüglich der dreijährlichen Überprüfung der Aufnahmebedingungen erkannt, dass diese nach dem Willen des Gesetzgebers umfassend zu erfolgen hat, das heisst unter Einschluss einer Kosten-Nutzen-Analyse (E. 5.2.3), wie sie im Rahmen des TQV stattfindet (E. 5.3). Nur eine umfassende Überprüfung der Kriterien von Art. 32 Abs. 1 KVG ermöglicht es, sicherzustellen, dass die im Rahmen der Aufnahme eines Arzneimittels in die SL gestellten Anforderungen während der gesamten Verweildauer auf der SL erfüllt sind (E. 5.2.3). Art. 65d Abs. 1bis KVV (in der von 1. Juni 2013 bis 31. Mai 2015 in Kraft gestandenen Fassung), welcher im Regelfall eine ausschliesslich preisbezogene Überprüfung mittels APV vorsieht, hält vor dem Legalitätsprinzip nicht stand (E. 5.4).</w:t>
      </w:r>
    </w:p>
    <w:p>
      <w:r>
        <w:rPr>
          <w:b/>
        </w:rPr>
        <w:t>E. 6</w:t>
      </w:r>
    </w:p>
    <w:p>
      <w:r>
        <w:t>B._______ ist unbestrittenermassen im Ausland nicht im Handel, weshalb im Rahmen der dreijährlichen Überprüfung keine umfassende Wirtschaftlichkeitsprüfung mit APV und TQV vorgenommen werden kann, sondern der Preis ausschliesslich auf der Grundlage eines TQV zu beurteilen ist. Unter den Parteien ist im konkret vorliegenden Fall denn umstritten, welche Arzneimittel in den TQV miteinzubeziehen sind.</w:t>
      </w:r>
    </w:p>
    <w:p>
      <w:r>
        <w:rPr>
          <w:b/>
        </w:rPr>
        <w:t>E. 6.1</w:t>
      </w:r>
    </w:p>
    <w:p>
      <w:r>
        <w:t>Die Beschwerdeführerin verlangt, dass B._______ ausschliesslich mit Q._______ zu vergleichen sei, da nur diese beiden Arzneimittel eine gleiche Indikation und eine ähnliche Wirkungsweise aufwiesen. Daher habe sie sich zu Recht darauf verlassen, dass das BAG bei B._______ so verfahre, wie es (...) mit Q._______ verfahren sei. Entgegen der Ansicht des BAG sei die Einteilung in eine IT-Klasse erheblich, da mit dieser klare Vorgaben gemacht würden. Aus der unterschiedlichen Einteilung in IT-Klassen liessen sich medizinisch relevante Unterschiede ableiten, weil IT-Klassen Aussagen über Gleichheit der Indikation oder Ähnlichkeit der Wirkungsweise erlauben würden. Demzufolge sei die TQV-Ausgangslage immer die jeweilige IT-Klasse, in die das BAG ein Arzneimittel eingeordnet habe. Die unterschiedlichen Punktelimitierungen der unterschiedlichen IT-Klassen würden (...) die Ausdehnung des TQV auf andere IT-Klassen verbieten. Während M._______ im Kapitel (...) des Index therapeuticus eingeteilt sei, werde B._______ im Kapitel (...) aufgeführt. Zudem sei die (...) Packung von M._______ im Gegensatz zu B._______ nicht mit einer Punktelimitation belegt. Weder die heilmittelrechtliche Stellung, noch die krankenversicherungsrechtliche SL-Einordnung von M._______, noch seine Wirkungsweise seien mit B._______ vergleichbar. Im Weiteren sei das Anwendungsgebiet von U._______ (...). Es wäre nicht sachgerecht, das für ausschliesslich andere Indikationen, aber nicht für (...) einsetzbare B._______ mit U._______ zu vergleichen. Hinzu komme, dass U._______ einen anderen ATC-Code aufweise. Es sei bei (...) (ATC-Code [...]) eingereiht, während B._______ und Q._______ beim ATC-Code (...) (ATC-Code [...]) eingereiht seien. Replikweise führt die Beschwerdeführerin ergänzend aus, dass die Vorinstanz ihrer eigenen Praxis widerspreche, wenn sie die ATC-Codierung für den TQV als irrelevant abtue. Die ATC-Codierung stelle eines der geeignetsten Unterscheidungsmerkmale dar. Mit Spontaneingabe ergänzt die Beschwerdeführerin schliesslich, dass U._______ im Gegensatz zu M._______ keine gemeinsamen Indikationen mit B._______ aufweise (vgl. BVGer-act. 1 Rz. 31 ff., BVGer-act. 14 Rz. 2 ff. und BVGer-act. 24).</w:t>
      </w:r>
    </w:p>
    <w:p>
      <w:r>
        <w:rPr>
          <w:b/>
        </w:rPr>
        <w:t>E. 6.2</w:t>
      </w:r>
    </w:p>
    <w:p>
      <w:r>
        <w:t>Die Vorinstanz bringt demgegenüber vor, der TQV für Q._______ im Jahre (...) sei aus Versehen nicht mit sämtlichen einzubeziehenden Arzneimitteln durchgeführt worden. Gemäss Art. 34 Abs. 2 Bst. b KLV werde für die Beurteilung der Wirtschaftlichkeit eines Arzneimittels die Wirksamkeit im Verhältnis zu anderen Arzneimittel gleicher Indikation oder ähnlicher Wirkungsweise berücksichtigt. Es spiele keine Rolle, ob die zu vergleichenden Arzneimittel in der gleichen IT-Klasse seien, den gleichen ATC-Code aufwiesen, die gleiche Punktelimitation hätten bzw. ähnlich zusammengesetzt seien. Generell gelte, dass ein Arzneimittel durch Swissmedic in nur eine IT-Gruppe eingeteilt werde, obwohl es mehrere Indikationen aufweisen könne. Dies erkläre den Umstand, dass gleich indizierte oder ähnlich wirkende Arzneimittel in unterschiedlichen IT-Gruppen eingeteilt seien. Swissmedic habe M._______ in die IT-Gruppe (...) eingeteilt. Obschon es auf der SL in der IT-Gruppe (...) eingeteilt sei, könne es vorliegend für den TQV berücksichtigt werden. Zwar sei die (...) Packung von M._______ nicht limitiert, jedoch weise die (...) Packung die gleiche Punktelimitation auf wie diejenige von B._______. Auch werde für den TQV nicht vorausgesetzt, dass die zu vergleichenden Arzneimittel gleich zusammengesetzt sein müssten und einen gleichen ATC-Code aufzuweisen hätten. Beim ATC-Code handle es sich um das von der European Pharmaceutical Market Research Association (EPhMRA) entwickelte und vom Collaborating Centre for Drug Statistics der Weltgesundheitsorganisation adaptierte anatomisch-therapeutisch-chemische Klassifikationssystem, eine offiziell herausgegebene internationale Klassifikation für Arzneistoffe. Da diese Klassifikation für Substanzen und nicht für das Arzneimittel als Ganzes gelte, würden B._______ und U._______ aufgrund der unterschiedlichen Wirksubstanzen einen anderen ATC-Code aufweisen. Im Weiteren habe Swissmedic einzelne Arzneimittelgruppen bezeichnet, für welche keine Fachinformationen erforderlich seien. Daher mache das Institut bei einzelnen Gruppen eine Ausnahme von der Arzneimittelfachinformationspflicht. Jedoch sei für alle Arzneimittel der Abgabekategorien A-D eine Patienteninformation notwendig. Der Umstand, dass sowohl bei U._______ als auch bei B._______ eine Patienteninformation vorhanden sei, zeige ebenfalls, dass ein TQV mit diesen beiden Präparaten durchgeführt werden könne. Duplikweise entgegnete die Vorinstanz, für das BAG sei nicht der gleiche ATC-Code ausschlaggebend für die Wahl der Arzneimittel bei der Durchführung des TQV, sondern die Indikation und auch die Inhaltsstoffe. M._______, U._______ und Q._______ wiesen alle eine ähnliche Wirkungsweise auf (...) (vgl. BVGer-act. 10 Rz. 11 ff. und BVGer-act. 20 Rz. 8 ff.).</w:t>
      </w:r>
    </w:p>
    <w:p>
      <w:r>
        <w:rPr>
          <w:b/>
        </w:rPr>
        <w:t>E. 7</w:t>
      </w:r>
    </w:p>
    <w:p>
      <w:r>
        <w:t>Zu prüfen ist, ob der von der Vorinstanz durchgeführte TQV, insbesondere die Auswahl der Vergleichspräparate, den rechtlichen Anforderungen entspricht.</w:t>
      </w:r>
    </w:p>
    <w:p>
      <w:r>
        <w:rPr>
          <w:b/>
        </w:rPr>
        <w:t>E. 7.1</w:t>
      </w:r>
    </w:p>
    <w:p>
      <w:r>
        <w:t>Ein Arzneimittel gilt als wirtschaftlich, wenn es die «indizierte Heilwirkung» mit möglichst geringem finanziellen Aufwand gewährleistet (Art. 65b Abs. 1 KVV). Laut Art. 65b Abs. 2 KVV ist die Wirtschaftlichkeit eines Arzneimittels unter anderem aufgrund des «Vergleichs mit anderen Arzneimitteln» zu beurteilen. In Art. 34 Abs. 2 Bst. b und c KLV wird diesbezüglich zur Beurteilung der Wirtschaftlichkeit eines bestimmten Arzneimittels für die vergleichende Prüfung der Wirksamkeit desselben der Kreis der für den TQV heranzuziehenden Arzneimittel auf solche «gleicher Indikation oder ähnlicher Wirkungsweise» festgelegt.</w:t>
      </w:r>
    </w:p>
    <w:p>
      <w:r>
        <w:rPr>
          <w:b/>
        </w:rPr>
        <w:t>E. 7.2</w:t>
      </w:r>
    </w:p>
    <w:p>
      <w:r>
        <w:t>Nach der bundesgerichtlichen Rechtsprechung findet mittels TQV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Präparat beschränken (BGE 127 V 275 E. 2b mit Hinweisen).</w:t>
      </w:r>
    </w:p>
    <w:p>
      <w:r>
        <w:rPr>
          <w:b/>
        </w:rPr>
        <w:t>E. 7.3</w:t>
      </w:r>
    </w:p>
    <w:p>
      <w:r>
        <w:t>Art. 34 Abs. 2 Bst. b und c KLV sehen keine Priorisierung eines der Auswahlkriterien («gleiche Indikation», «ähnliche Wirkungsweise») vor. Aus dieser Bestimmung kann zudem nicht abgeleitet werden, dass mit dem TQV entweder ausschliesslich Arzneimittel gleicher Indikation oder ausschliesslich Arzneimittel ähnlicher Wirkungsweise zu vergleichen sind. Art. 34 Abs. 2 Bst. b und c KLV schreibt auch keine primäre und ausschliessliche Berücksichtigung von Arzneimitteln gleicher Indikation vor. Der Vorinstanz steht hinsichtlich des anwendbaren Kriteriums sowie bei der Auswahl der Vergleichspräparate ein weiter Ermessensspielraum zu (vgl. dazu auch Urteil des BVGer C-6875/2014 vom 18. Juli 2016 E. 4.3.3). In diesem Sinn ist Art. 34 Abs. 2 Bst. b und c KLV einerseits nicht zu entnehmen, dass die Vorinstanz den TQV unter Anwendung beider Kriterien durchführen muss, wenn im konkreten Fall Arzneimittel mit gleicher Indikation und solche ähnlicher Wirkungsweise vorhanden sind (vgl. Urteil des BVGer C-6252/2014 vom 8. September 2016 E. 8.3 [beim Bundesgericht angefochten]). Andererseits ist grundsätzlich auch nicht zu beanstanden, wenn die Vorinstanz nebst Arzneimittel gleicher Indikation (für die bei einem bestimmten Arzneimittel eine Zulassung tatsächlich beantragt und erteilt wurde) und ähnlicher Wirkungsweise auch Arzneimittel mit lediglich ähnlicher Wirkungsweise berücksichtigt. Zu prüfen bleibt aber in jedem Einzelfall, ob die Vorinstanz bei der Auswahl der Vergleichspräparate ihr weites Ermessen (vgl. E. 3.2.3 hiervor) sachgerecht ausgeübt hat.</w:t>
      </w:r>
    </w:p>
    <w:p>
      <w:r>
        <w:rPr>
          <w:b/>
        </w:rPr>
        <w:t>E. 8</w:t>
      </w:r>
    </w:p>
    <w:p>
      <w:r>
        <w:t>Bei B._______ sowie bei den von der Vorinstanz für den TQV herangezogenen Vergleichspräparaten Q._______, U._______ und M._______ handelt es sich um nicht verschreibungspflichtige Arzneimittel der Abgabekategorie D (Abgabe nach Fachberatung; Art. 26 der Arzneimittelverordnung vom 17. Oktober 2001 [VAM, SR 812.212.21]). Zunächst erfolgt ein Überblick über die zur Diskussion stehenden Arzneimittel:</w:t>
      </w:r>
    </w:p>
    <w:p>
      <w:r>
        <w:rPr>
          <w:b/>
        </w:rPr>
        <w:t>E. 8.1</w:t>
      </w:r>
    </w:p>
    <w:p>
      <w:r>
        <w:t>B._______ ist im Sinne des Heilmittelgesetzes vom 15. Dezember 2000 (HMG, SR 812.21) laut der Fachinformation für die folgenden Indikationen zugelassen: (...) B._______ (...) enthält (...). Es ist in der IT-Gruppe (...) der Spezialitätenliste eingeteilt.</w:t>
      </w:r>
    </w:p>
    <w:p>
      <w:r>
        <w:rPr>
          <w:b/>
        </w:rPr>
        <w:t>E. 8.2</w:t>
      </w:r>
    </w:p>
    <w:p>
      <w:r>
        <w:t>Laut der Fachinformation ist Q._______ heilmittelrechtlich für die folgenden Indikationen zugelassen: (...) Q._______ (...) enthält (...). Es ist in der IT-Gruppe (...) der Spezialitätenliste eingeteilt.</w:t>
      </w:r>
    </w:p>
    <w:p>
      <w:r>
        <w:rPr>
          <w:b/>
        </w:rPr>
        <w:t>E. 8.3</w:t>
      </w:r>
    </w:p>
    <w:p>
      <w:r>
        <w:t>M._______ ist heilmittelrechtlich gemäss Patienteninformation für folgende Indikationen zugelassen: (...) M._______ (...) enthält (...). Es ist in der IT-Gruppe (...) der Spezialitätenliste eingeteilt.</w:t>
      </w:r>
    </w:p>
    <w:p>
      <w:r>
        <w:rPr>
          <w:b/>
        </w:rPr>
        <w:t>E. 8.4</w:t>
      </w:r>
    </w:p>
    <w:p>
      <w:r>
        <w:t>U._______ ist heilmittelrechtlich gemäss Patienteninformation für folgende Indikationen zugelassen: (...) U._______ (...) enthält (...). Es ist in der IT-Gruppe (...) der Spezialitätenliste eingeteilt.</w:t>
      </w:r>
    </w:p>
    <w:p>
      <w:r>
        <w:rPr>
          <w:b/>
        </w:rPr>
        <w:t>E. 8.5</w:t>
      </w:r>
    </w:p>
    <w:p>
      <w:r>
        <w:t>Bei den von der Vorinstanz für den TQV herangezogenen Arzneimittel Q._______, U._______ und M._______ handelt es sich wie einleitend bereits festgehalten genau wie bei B._______ um nicht verschreibungspflichtige Arzneimittel der Abgabekategorie D (Abgabe nach Fachberatung; Art. 26 der Arzneimittelverordnung vom 17. Oktober 2001 [VAM, SR 812.212.21]). Im Weiteren unterscheiden sie sich gemäss Fachinformation (Q._______) respektive gemäss Patienteninformationen (U._______ und M._______) hinsichtlich ihrer Wirkungsweise nicht von B._______. Die Vorinstanz legt einlässlich dar, dass es sich bei sämtlichen Vergleichspräparaten ebenfalls um (...) handelt, die allesamt eine (...) Wirkung haben, wobei anzufügen ist, dass ihr Einsatz wie auch derjenige von B._______ höchstens (...) sein kann. Sie eignen sich alle als (...). Genauso wie B._______ verhindern die Vergleichspräparate (...). Entgegen der Ansicht der Beschwerdeführerin ist nicht erforderlich, dass die ähnlich wirkenden Vergleichspräparate zusätzlich - wie z.B. Q._______ - über die gleiche Indikation verfügen müssen, um sie für den TQV berücksichtigen zu können (vgl. E. 7.3 hiervor). Dennoch gibt es auch bei M._______ gewisse Überschneidungen hinsichtlich der Indikationen, kann es doch genauso wie B._______ zur (...) eingesetzt werden.</w:t>
      </w:r>
    </w:p>
    <w:p>
      <w:r>
        <w:rPr>
          <w:b/>
        </w:rPr>
        <w:t>E. 8.6</w:t>
      </w:r>
    </w:p>
    <w:p>
      <w:r>
        <w:t>In Bezug auf die Klassifikation der Arzneimittel ist darauf hinzuweisen, dass Swissmedic die zugelassenen Medikamente jeweils in verschiedene therapeutische Gruppen einteilt (sogenannter Index Therapeuticus [IT]; für die entsprechende Gliederung vgl. die Liste «IT-Gruppen Zuteilung», abrufbar unter www.swissmedic.ch &gt; Zulassungen &gt; Humanarzneimittel &gt; Informationen, zuletzt besucht am 10. Januar 2017). Diese Einteilung verwendet auch das BAG für die Spezialitätenliste (abrufbar unter www.spezialitätenliste.ch &gt; IT-Register, zuletzt besucht am 10. Januar 2017), wobei das BAG (bzw. zuvor BSV) davon abweichend einzelne Arzneimittel in andere IT-Gruppen eingeteilt hat als das Heilmittelinstitut (vgl. generell die SL, abrufbar unter www.spezialitätenliste.ch, sowie die «Excel-Version erweiterte Präparateliste der Swissmedic, abrufbar unter www.swissmedic.ch &gt; Arzneimittel &gt; Zugelassene Präparate &gt; Human- und Tierarzneimittel, zuletzt besucht am 10. Januar 2017). Hinsichtlich des Einwands der Beschwerdeführerin, M._______ figuriere im Gegensatz zu B._______ nicht in der IT-Gruppe (...), betont die Vorinstanz zu Recht, dass gemäss Art. 34 Abs. 2 Bst b und c KLV beim TQV für die Beurteilung der Wirtschaftlichkeit eines Arzneimittels die Wirksamkeit im Verhältnis zu anderen Arzneimitteln gleicher Indikation oder ähnlicher Wirkungsweise zu berücksichtigen ist (vgl. auch E. 7.1 hiervor) und dabei nicht unterschieden wird, ob die zu vergleichenden Arzneimittel in unterschiedlichen IT-Gruppen eingeteilt sind. Wie soeben dargelegt (E. 8.5 hiervor) handelt es sich sowohl bei M._______ als auch bei U._______ und - dem von der Beschwerdeführerin für den TQV nicht bestrittenen - Q._______ um Arzneimittel ähnlicher Wirkungsweise. Zudem ist M._______, auch wenn es in der IT-Gruppe (...) figuriert, gemäss IT-Register ebenfalls in der (Haupt-)Gruppe der (...) (IT-Register: [...]) eingeteilt. Überdies hat Swissmedic im Gegensatz zum BAG (bzw. BSV) M._______ im Rahmen der Arzneimittelzulassung in die IT-Gruppe (...) eingeteilt (vgl. dazu die «Excel-Version erweiterte Präparateliste», abrufbar unter www.swissmedic.ch Arzneimittel Zugelassene Präparate Human- und Tierarzneimittel, zuletzt besucht am 10. Januar 2017) und damit in derselben IT-Gruppe wie B._______. In diesem Zusammenhang weist die Vorinstanz auch zutreffend darauf hin, dass ein Arzneimittel nur in eine IT-Gruppe eingeteilt wird, obwohl es mehrere Indikationen aufweisen kann, für die eine heilmittelrechtliche Zulassung beantragt und erteilt wurde. Gemäss Patienteninformation eignet sich M._______ sowohl als (...) als auch als (...). Aufgrund des Dargelegten kann mithin entgegen der Ansicht der Beschwerdeführerin die IT-Einteilung durch das BAG (vgl. Argument der Bf. E. 6.1 [...] hiervor) für die Frage, ob ein Arzneimittel für den therapeutischen Quervergleich geeignet ist, nicht entscheidwesentlich sein.</w:t>
      </w:r>
    </w:p>
    <w:p>
      <w:r>
        <w:rPr>
          <w:b/>
        </w:rPr>
        <w:t>E. 8.7</w:t>
      </w:r>
    </w:p>
    <w:p>
      <w:r>
        <w:t>Dasselbe gilt auch hinsichtlich des Umstands, dass B._______ einer Punktelimitation untersteht, während die für den TQV berücksichtigte Packung von M._______ keiner Limitierung unterliegt. Die Punktelimitation dient nämlich als Instrument der Wirtschaftlichkeitskontrolle sowie dem Zweck, eine missbräuchliche Verwendung von in die SL aufgenommenen Medikamenten auszuschliessen oder zu minimieren (vgl. BGE 130 V 532 E. 3.1 in fine mit Hinweisen). Über den Umstand, ob die zu vergleichenden Arzneimittel gleich indiziert sind oder eine ähnliche Wirkungsweise aufweisen, sagt die Limitation demgegenüber nichts aus. Dementsprechend steht auch eine unterschiedliche Mengenbeschränkung der zu vergleichenden Arzneimittel der Durchführbarkeit des TQV nicht entgegen. Ausserdem untersteht nur die (...) Packung von M._______ keiner Limitierung. Die (...) Packung von M._______ hingegen weist - obwohl günstiger - dieselbe Limitierung auf wie die entsprechende Packungsgrösse von B._______.</w:t>
      </w:r>
    </w:p>
    <w:p>
      <w:r>
        <w:rPr>
          <w:b/>
        </w:rPr>
        <w:t>E. 8.8</w:t>
      </w:r>
    </w:p>
    <w:p>
      <w:r>
        <w:t>Der Einwand der Beschwerdeführerin, wonach sich aus der ATC-Klassifizierung ergebe, dass U._______ aufgrund einer grundlegend anderen ATC-Code-Einteilung nicht für den TQV berücksichtigt werden dürfe, vermag nicht zu überzeugen. Zwar trifft es zu, dass Swissmedic dem Arzneimittel U._______ den ATC-Code (...) zugewiesen hat (vgl. dazu die «Excel-Version erweiterte Präparateliste», abrufbar unter www.swissmedic.ch Arzneimittel Zugelassene Präparate Human- und Tierarzneimittel, zuletzt besucht am 10. Januar 2017). Jedoch wurde U._______ in der aktuellen Spezialitätenliste - wie auch B._______, Q._______ und M._______ - in der Rubrik (...) des ATC-Klassifikationssystems eingeteilt. U._______ wurde dabei - wie M._______ - der ATC-Code (...) zugewiesen, da in beiden Präparaten diese Wirksubstanz enthalten ist (vgl. die SL, abrufbar unter www.spezialitätenliste.ch, zuletzt besucht am 10. Januar 2017). Der ATC-Code (...) entspricht demgegenüber der in B._______ und Q._______ enthaltenen Wirksubstanz (...). Folglich weisen diese Arzneimittel auch unterschiedliche ATC-Codes auf. Folgte man der Argumentation der Beschwerdeführerin, wonach die zu vergleichenden Arzneimittel den gleichen ATC-Code ausweisen müssten, hätte dies zur Folge, dass lediglich Arzneimittel mit derselben Wirksubstanz verglichen werden könnten mit dem Ergebnis, dass gleich indizierte oder ähnlich wirkende Arzneimittel mit anderen Wirksubstanzen für den TQV ausser Betracht zu fallen hätten. Gemäss dargestellter ständiger Rechtsprechung des Bundesgerichts ist jedoch die Art und Menge eines Wirkstoffes für die vergleichende Wertung der Arzneimittel gerade nicht massgebend (vgl. hiervor E. 7.2 in fine mit Hinweis). Dass die ATC-Klassifikation zur Bestimmung der TQV-Vergleichspräparate nicht adäquat sein kann, zeigt sich insbesondere bei Kombinationspräparaten, da bei mehreren Wirksubstanzen jeweils nur ein ATC-Code zugewiesen werden kann (vgl. dazu Urteil des BVGer C-6246/2012 E. 8.5 [beim Bundesgericht angefochten]). Demnach kann einem ATC-Code keine entscheidende Bedeutung für die Bestimmung der Gleichwertigkeit von Arzneimitteln zukommen. Auch aus der replicando eingereichten Verfügung der Vorinstanz vom 20. September 2013 (vgl. BVGer-act. 14, Beilage) kann die Beschwerdeführerin nichts zu ihren Gunsten ableiten, hat doch die Vorinstanz - wie von der Beschwerdeführerin zu Recht gefordert (vgl. BVGer-act. 14 Rz. 20 in fine) - jeden Einzelfall individuell-konkret zu prüfen. Zudem kann der von der Beschwerdeführerin zitierten Passage ohnehin entnommen werden, dass die Vorinstanz nicht lediglich aufgrund unterschiedlicher ATC-Codes die im dortigen Verfahren gestellten Anträge der Beschwerdeführerin teilweise abgelehnt hat, sondern gleich mehrere Gründe für die teilweise Ablehnung genannt hat (andere Abgabekategorie der Vergleichspräparate, deutlich andere Indikationen, Pflanzenextrakte und isolierter Wirkstoff etc.).</w:t>
      </w:r>
    </w:p>
    <w:p>
      <w:r>
        <w:rPr>
          <w:b/>
        </w:rPr>
        <w:t>E. 8.9</w:t>
      </w:r>
    </w:p>
    <w:p>
      <w:r>
        <w:t>Auch aus dem Umstand, dass U._______ und M._______ im Gegensatz zu B._______ (und Q._______) lediglich über eine Patienteninformation verfügen, kann die Beschwerdeführerin nichts zu ihren Gunsten ableiten, weist doch die Vorinstanz zutreffend darauf hin, dass Swissmedic gemäss Art. 13 Abs. 3 der Arzneimittel-Zulassungsverordnung vom 9. November 2001 (AMZV, SR 812.212.22) bei einzelnen Gruppen eine Ausnahme von der Arzneimittelinformationspflicht macht (vgl. dazu BVGer-act. 10 Beilage 3 S. 4 f.). Hinsichtlich der Rügen betreffend (...) erweist sich zudem der Hinweis der Vorinstanz als richtig, wonach den Patienteninformationen von U._______ und M._______, die im Übrigen - wie alle anderen zugelassenen Präparate in der Schweiz auch - vor ihrer Zulassung von Swissmedic eingehend geprüft wurden, keine Einschränkungen hinsichtlich (...) zu entnehmen ist. (...).</w:t>
      </w:r>
    </w:p>
    <w:p>
      <w:r>
        <w:rPr>
          <w:b/>
        </w:rPr>
        <w:t>E. 8.10</w:t>
      </w:r>
    </w:p>
    <w:p>
      <w:r>
        <w:t>Mit Blick auf das Dargelegte ist es nicht zu beanstanden, dass die Vorinstanz die Vergleichsgruppe nicht auf das Vergleichspräparat Q._______ beschränkt hat, welches laut der Beschwerdeführerin aufgrund seiner Zusammensetzung und aufgrund «gleicher Indikation und ähnlicher Wirkungsweise» als Einziges der Vergleichspräparate für einen TQV in Frage kommen soll. Wie die Vorinstanz richtig festhält, ist für die Auswahl der Vergleichspräparate die gleiche Indikation oder die ähnliche Wirkungsweise entscheidend. Ausgangspunkt für den Vergleich hat gemäss geltender Rechtslage somit nicht der Wirkstoff, sondern die Indikation bzw. die ähnliche Wirkungsweise zu sein. Art und Menge des Wirkstoffes können für sich alleine nicht entscheidend sein (BGE 110 V 199 E. 3a, 127 V 275 E. 2b vgl. auch hiervor E. 7.2 in fine). M._______ und U._______ können daher nicht ausgeschlossen werden, weil sie in eine andere IT-Klasse eingeteilt sind resp. über einen unterschiedlichen ATC-Code verfügen. Ebenso wenig kann die fehlende Punktelimitation der (...) Packung von M._______ zu einem Ausschluss führen. Vorliegend massgebend ist, ob diese Arzneimittel in Bezug auf ihre ähnliche Wirkungsweise vergleichbar sind, was, wie bereits dargelegt wurde, zu bejahen ist. Demzufolge kann die Beschwerdeführerin aus dem Umstand, wonach Q._______ im Jahre (...) nur mit B._______ verglichen wurde, keinen Anspruch ableiten kann, dass B._______ vorliegend lediglich mit Q._______ zu vergleichen sei, hat doch die dreijährliche Überprüfung der Aufnahmebedingungen praxisgemäss umfassend zu erfolgen.</w:t>
      </w:r>
    </w:p>
    <w:p>
      <w:r>
        <w:rPr>
          <w:b/>
        </w:rPr>
        <w:t>E. 8.11</w:t>
      </w:r>
    </w:p>
    <w:p>
      <w:r>
        <w:t>Aus dem Dargelegten folgt, dass der von der Vorinstanz durchgeführte TQV den Anforderungen von Art. 34 Abs. 2 Bst. b und c KLV entspricht. Folglich ist die Beschwerde abzuweisen.</w:t>
      </w:r>
    </w:p>
    <w:p>
      <w:r>
        <w:rPr>
          <w:b/>
        </w:rPr>
        <w:t>E. 9</w:t>
      </w:r>
    </w:p>
    <w:p>
      <w:r>
        <w:t>Zu befinden bleibt über die Verfahrenskosten und eine allfällige Parteientschädigung.</w:t>
      </w:r>
    </w:p>
    <w:p>
      <w:r>
        <w:rPr>
          <w:b/>
        </w:rPr>
        <w:t>E. 9.1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4'000.- festzusetzen, der unterliegenden Beschwerdeführerin aufzuerlegen und der Betrag aus dem geleisteten Kostenvorschuss zu entnehmen. Der obsiegenden Vorinstanz sind keine Verfahrenskosten aufzuerlegen (Art. 63 Abs. 2 VwVG).</w:t>
      </w:r>
    </w:p>
    <w:p>
      <w:r>
        <w:rPr>
          <w:b/>
        </w:rPr>
        <w:t>E. 9.2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Abs. 1 VGKE). Obsiegt die Partei nur teilweise, so ist die Parteientschädigung entsprechend zu kürzen. In Anbetracht ihres Unterliegens ist der Beschwerdeführerin vorliegend keine Parteientschädigung zuzusprechen. Die Vorinstanz hat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