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C-6246/2011 vom 30. September 2013</w:t>
      </w:r>
    </w:p>
    <w:p>
      <w:r>
        <w:t>Bundesverwaltungsgericht, 2013-09-30, FR</w:t>
      </w:r>
    </w:p>
    <w:p>
      <w:r>
        <w:rPr>
          <w:b/>
        </w:rPr>
        <w:t xml:space="preserve">Quelle: </w:t>
      </w:r>
      <w:r>
        <w:t>https://mcp.opencaselaw.ch/entscheid/bvger_C-6246_2011</w:t>
      </w:r>
    </w:p>
    <w:p>
      <w:r>
        <w:t>FR: TAF C-6246/2011 du 30 septembre 2013</w:t>
      </w:r>
    </w:p>
    <w:p>
      <w:r>
        <w:t>IT: TAF C-6246/2011 del 30 settembre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w:t>
      </w:r>
    </w:p>
    <w:p>
      <w:r>
        <w:t>Il sied tout d'abord d'examiner la question du droit applicable à la présente cause. En effet, il ressort du dossier que A._______, ressortissant bolivien, est père d'une enfant, D._______ (cf. ci-dessus, let. O), au bénéfice d'un passeport espagnol, résidant à Genève, dont il n'a toutefois pas la garde et sur laquelle il n'exerce aucun droit de visite. Il n'en demeure pas moins que D._______, de part sa nationalité, dispose d'un droit originaire à la libre circulation des personnes et ce, bien qu'elle soit encore mineure (cf. à ce sujet, l'arrêt du Tribunal administratif fédéral C 4099/2010 du 8 août 2013 consid. 5.3). La question se pose dès lors de savoir si, en pareilles circonstances, malgré l'absence de toute preuve quant à l'existence prétendue de relations entre le père et sa fille, le recourant peut se prévaloir, à titre dérivé, des droits conférés par l'Accord du 21 juin 1999 entre la Confédération suisse, d'une part, et la Communauté européenne et ses Etats membres, d'autre part, sur la libre circulation des personnes (ci-après : ALCP ; RS 0.142.112.681). En l'espèce, cette question peut demeurer indécise, la mesure d'éloignement prononcée à l'endroit de A._______ devant de toute manière être levée avec effet immédiat, selon le droit interne, pour les motifs exposés ci-après.</w:t>
      </w:r>
    </w:p>
    <w:p>
      <w:r>
        <w:rPr>
          <w:b/>
        </w:rPr>
        <w:t>E. 4.1</w:t>
      </w:r>
    </w:p>
    <w:p>
      <w:r>
        <w:t>L'interdiction d'entrée, qui permet d'empêcher l'entrée ou le retour en Suisse d'un étranger dont le séjour y est indésirable, est réglée à l'art. 67 LEtr. Une nouvelle teneur de cette disposition légale,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faits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 Les cas dans lesquels l'ODM dispose, comme auparavant, d'une marge d'appréciation pour prononcer une interdiction d'entrée figurent désormais à l'art. 67 al. 2 LEtr et correspondent à l'ancien art. 67 al. 1 LEtr (RO 2007 5437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En l'occurrence, la décision querellée est fondée sur l'ancien art. 67 al. 1 let. a LEtr, qui correspond à l'alinéa 2 let. a du nouvel art. 67 LEtr. Par ailleurs, la durée de la mesure prononcée le 18 juillet 2009 est de cinq ans (cf. art. 67 al. 3 LEtr première phrase), de sorte que rien ne s'oppose à l'application du nouveau droit au cas d'espèce.</w:t>
      </w:r>
    </w:p>
    <w:p>
      <w:r>
        <w:rPr>
          <w:b/>
        </w:rPr>
        <w:t>E. 4.2</w:t>
      </w:r>
    </w:p>
    <w:p>
      <w:r>
        <w:t>Aux termes de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Lorsqu'une décision d'interdiction d'entrée au sens de l'art. 67 LEtr est prononcée à l'endroit d'une personne non-ressortissante de l'un des Etats parties aux Accords d'association à Schengen (lesquels sont énumérés à l'annexe 1 ch.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 6801/2010 du 1er avril 2011 consid. 4 et C 1667/2010 du 21 mars 2011 consid. 3.3).</w:t>
      </w:r>
    </w:p>
    <w:p>
      <w:r>
        <w:rPr>
          <w:b/>
        </w:rPr>
        <w:t>E. 4.4</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Cela signifie qu'il faut pouvoir établir un pronostic défavorable à ce sujet. Un tel pronostic ne devrait en principe pas être possible lorsque les motifs qui ont conduit l'intéressé à mal agir ont disparu (Marc Spescha in : M. Spescha / H. Thür / A. Zünd / P. Bolzli, Migrationsrecht, Zurich 2012, ad art. 67 n° 3).</w:t>
      </w:r>
    </w:p>
    <w:p>
      <w:r>
        <w:rPr>
          <w:b/>
        </w:rPr>
        <w:t>E. 4.5</w:t>
      </w:r>
    </w:p>
    <w:p>
      <w:r>
        <w:t>Selon le Message précité (cf. p. 3568), l'interdiction d'entrée permet d'empêcher l'entrée ou le retour en Suisse d'un étranger dont le séjour y est indésirable. Elle n'est pas considérée comme une peine sanctionnant un comportement déterminé, mais une mesure ayant pour but de prévenir une atteinte à la sécurité et à l'ordre publics.</w:t>
      </w:r>
    </w:p>
    <w:p>
      <w:r>
        <w:rPr>
          <w:b/>
        </w:rPr>
        <w:t>E. 4.6</w:t>
      </w:r>
    </w:p>
    <w:p>
      <w:r>
        <w:t>L'autorité compétente examine selon sa libre appréciation si une interdiction d'entrée doit être prononcée en application de l'art. 67 al. 2 LEtr. Elle doit donc procéder à une pondération méticuleuse de l'ensemble des intérêts en présence et respecter le principe de la proportionnalité (cf. Andreas Zünd / Ladina Arquint Hill, Beendigung der Anwesenheit, Entfernung und Fernhaltung, in : P. Uebersax / B. Rudin / T. Hugi Yar / T. Geiser [édit.], Ausländerrecht, 2ème édition, Bâle 2009, n° 8.80).</w:t>
      </w:r>
    </w:p>
    <w:p>
      <w:r>
        <w:rPr>
          <w:b/>
        </w:rPr>
        <w:t>E. 5.1</w:t>
      </w:r>
    </w:p>
    <w:p>
      <w:r>
        <w:t>En l'occurrence, l'ODM a prononcé à l'encontre de A._______ une d'interdiction d'entrée au motif que celui-ci avait attenté à la sécurité à l'ordre publics pour être entré, avoir séjourné et avoir exercé une activité professionnelle sans autorisation et pour avoir conduit un véhicule automobile en état d'ébriété.</w:t>
      </w:r>
    </w:p>
    <w:p>
      <w:r>
        <w:rPr>
          <w:b/>
        </w:rPr>
        <w:t>E. 5.2</w:t>
      </w:r>
    </w:p>
    <w:p>
      <w:r>
        <w:t>A l'examen du dossier, il appert que le recourant, en date du 10 janvier 2008, a été reconnu coupable de conduite en état d'ébriété avec un taux d'alcoolémie qualifié de 2.08 o/oo (art. 91 al. 1 de la loi fédérale du 19 décembre 1958 sur la circulation routière [LCR ; RS 741.01]), soit un taux très supérieur à la limite autorisée de 0.5 o/oo, et condamné à une peine de soixante-cinq jours-amende avec sursis et à 2'000 francs d'amende. A cette occasion, l'autorité pénale a souligné que les motivations de A._______ relevaient "de la pure désinvolture vis-à-vis de la sécurité d'autrui" (cf. ordonnance de condamnation du Procureur général de la République et canton de Genève datée du 10 janvier 2008, p. 2). Pour cette raison déjà, les faits reprochés au prénommé présentant un caractère de gravité certain, la mesure d'éloignement prise à son encontre, objet de la présente procédure, apparaît comme étant justifiée dans son principe. Elle l'est d'autant plus que le recourant a contrevenu aux prescriptions en matière de police des étrangers. A ce titre, le Tribunal relève que A._______ a séjourné illégalement en Suisse à compter du 16 octobre 2005, date à partir de laquelle il ne disposait plus d'un titre de séjour valable en Suisse. Le 2 juin 2007, et non en octobre 2005 comme le recourant le prétend à tort dans son mémoire de recours, celui-ci a quitté le territoire helvétique (cf. carte d'annonce de départ versée au dossier cantonal) pour se rendre en Espagne dans le but d'y trouver du travail. Apprenant la grossesse de C._______, qui était alors sa concubine, et n'ayant pas trouvé de travail dans l'intervalle en Espagne, A._______ est revenu illégalement en Suisse un mois plus tard (cf. déclarations de A._______ à l'OCP-GE, consignées in : notice d'entretien du 11 juillet 2008, pp. 1 et 2). Par ailleurs, le prénommé a admis, à plusieurs reprises, avoir exercé sans droit une activité lucrative en Suisse (cf. déclarations de A._______ à la gendarmerie genevoise, consignées in : procès-verbal du 25 novembre 2007, p. 2).</w:t>
      </w:r>
    </w:p>
    <w:p>
      <w:r>
        <w:rPr>
          <w:b/>
        </w:rPr>
        <w:t>E. 5.3</w:t>
      </w:r>
    </w:p>
    <w:p>
      <w:r>
        <w:t>Dans ces circonstances, c'est à bon droit que l'ODM a considéré, dans sa décision du 18 juillet 2009, que A._______ avait attenté à la sécurité et à l'ordre publics au sens de l'art. 67 al. 2 let. a LEtr et qu'il a fondé la décision querellée sur ces motifs.</w:t>
      </w:r>
    </w:p>
    <w:p>
      <w:r>
        <w:rPr>
          <w:b/>
        </w:rPr>
        <w:t>E. 6</w:t>
      </w:r>
    </w:p>
    <w:p>
      <w:r>
        <w:t>Il convient encore d'examiner si la mesure d'éloignement prise par l'ODM satisfait aux principes de proportionnalité et d'égalité de traitement.</w:t>
      </w:r>
    </w:p>
    <w:p>
      <w:r>
        <w:rPr>
          <w:b/>
        </w:rPr>
        <w:t>E. 6.1</w:t>
      </w:r>
    </w:p>
    <w:p>
      <w:r>
        <w:t>Lorsque l'autorité administrative prononce une interdiction d'entrée, elle doit en effet respecter les principes susmentionnés et s'interdire tout arbitraire (cf. notamment Thierry Tanquerel, Manuel de droit administratif, Genève / Bâle / Zurich 2011, pp. 187 ss, André Grisel, Traité de droit administratif, vol. I, Neuchâtel 1984, pp. 339 ss, 348 ss, 358 ss et 364 ss et Blaise Knapp, Précis de droit administratif, Bâle / Francfort-sur-le-Main 1991, pp. 103 ss, 113 ss et 124 ss ; cf. ci-dessus, consid. 4.6,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C-1547/2011 du 7 janvier 2013 consid. 7.1 et les arrêts cités).</w:t>
      </w:r>
    </w:p>
    <w:p>
      <w:r>
        <w:rPr>
          <w:b/>
        </w:rPr>
        <w:t>E. 6.2</w:t>
      </w:r>
    </w:p>
    <w:p>
      <w:r>
        <w:t>L'interdiction d'entrée prononcée à l'endroit de A._______ est une mesure administrative de contrôle qui tend à le tenir éloigné de la Suisse où il a contrevenu aux prescriptions légales en commettant des infractions revêtant une certaine gravité (cf. ci-dessus, consid. 5.2). Il en va de l'intérêt de l'Etat à voir respecter l'ordre établi et la législation en vigueur (cf. arrêt du Tribunal administratif fédéral C 4717/2012 du 5 avril 2013 consid. 6.2.1 et les arrêts cités). Dans ces conditions, l'intérêt privé du prénommé à pouvoir se déplacer librement en Suisse, où résident les trois demi-soeurs de son épouse - ses belles-soeurs -, sa fille D._______ - avec laquelle le recourant n'entretient aucun contact régulier dûment prouvé - ainsi qu'un "large cercle d'amis et de connaissances" (cf. déclarations de A._______ à l'OCP-GE, consignées in : notice d'entretien du 11 juillet 2008, pp. 3 et 4), ne saurait être considéré comme prépondérant par rapport à l'intérêt public à son éloignement et ce, sans en minimiser l'importance. Doit en effet être rappelé le comportement dangereux et désinvolte vis-à-vis d'autrui que le recourant a adopté au volant de son véhicule le 25 novembre 2007, comportement à l'origine de la condamnation pénale du 10 janvier 2008.</w:t>
      </w:r>
    </w:p>
    <w:p>
      <w:r>
        <w:rPr>
          <w:b/>
        </w:rPr>
        <w:t>E. 6.3</w:t>
      </w:r>
    </w:p>
    <w:p>
      <w:r>
        <w:t>Au regard de l'ensemble des éléments objectifs et subjectifs de la cause, le Tribunal considère que la décision de l'autorité inférieure est nécessaire et adéquate, mais que la durée de l'interdiction d'entrée en Suisse, considérant les décisions prises par les autorités dans des cas analogues, doit être réduite à la date du présent arrêt afin de respecter le principe de l'égalité de traitement.</w:t>
      </w:r>
    </w:p>
    <w:p>
      <w:r>
        <w:rPr>
          <w:b/>
        </w:rPr>
        <w:t>E. 7.1</w:t>
      </w:r>
    </w:p>
    <w:p>
      <w:r>
        <w:t>Partant, le recours est partiellement admis et la décision de l'ODM du 18 juillet 2009 est réformée en ce sens que les effets de l'interdiction d'entrée sont limités au jour du présent arrêt. Par conséquent, la mesure d'éloignement objet de la présente procédure doit être levée avec effet immédiat.</w:t>
      </w:r>
    </w:p>
    <w:p>
      <w:r>
        <w:rPr>
          <w:b/>
        </w:rPr>
        <w:t>E. 7.2</w:t>
      </w:r>
    </w:p>
    <w:p>
      <w:r>
        <w:t>Cela étant, il y a lieu de mettre des frais réduits, d'un montant de 500 francs, à la charge du recourant (art. 63 al. 1 PA en relation avec les art. 1 à 3 du règlement du Tribunal administratif fédéral du 21 février 2008 concernant les frais, dépens et indemnités fixés par le Tribunal administratif fédéral [FITAF ; RS 173.320.2]).</w:t>
      </w:r>
    </w:p>
    <w:p>
      <w:r>
        <w:rPr>
          <w:b/>
        </w:rPr>
        <w:t>E. 7.3</w:t>
      </w:r>
    </w:p>
    <w:p>
      <w:r>
        <w:t>Obtenant partiellement gain de cause, il convient de lui accorder des dépens réduits (art. 64 al. 1 PA en relation avec l'art. 7 al. 2 FITAF). Au vu de l'ensemble des circonstances du cas et de l'ampleur du travail accompli par la mandataire, le Tribunal estime, au regard de l'art. 8 ss FITAF, que le versement de 800 francs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