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C-623/2008 vom 3. November 2009</w:t>
      </w:r>
    </w:p>
    <w:p>
      <w:r>
        <w:t>Bundesverwaltungsgericht, 2009-11-03, IT</w:t>
      </w:r>
    </w:p>
    <w:p>
      <w:r>
        <w:rPr>
          <w:b/>
        </w:rPr>
        <w:t xml:space="preserve">Quelle: </w:t>
      </w:r>
      <w:r>
        <w:t>https://mcp.opencaselaw.ch/entscheid/bvger_C-623_2008</w:t>
      </w:r>
    </w:p>
    <w:p>
      <w:r>
        <w:t>FR: TAF C-623/2008 du 3 novembre 2009</w:t>
      </w:r>
    </w:p>
    <w:p>
      <w:r>
        <w:t>IT: TAF C-623/2008 del 3 novembre 2009</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4</w:t>
      </w:r>
    </w:p>
    <w:p>
      <w:r>
        <w:t>Secondo l'art. 24 cpv. 1 LPGA, il diritto a prestazioni si estingue cinque anni dopo la fine del mese per cui era dovuta la prestazione. In deroga a questa disposizione, l'art. 48 cpv. 2 LAI precisa che, se l'assicurato si annuncia più di dodici mesi dopo la nascita del diritto, le prestazioni dell'assicurazione invalidità possono essere assegnate soltanto per i dodici mesi precedenti la richiesta. Esse sono assegnate per un tempo anteriore, se l'assicurato non poteva conoscere i fatti motivanti il diritto e presenta la richiesta entro dodici mesi da quando ne ha avuto conoscenza. In concreto, il ricorrente ha presentato la domanda di rendita il 27 luglio 2005. Questo Tribunale può quindi limitarsi ad esaminare se il ricorrente abbia diritto ad una rendita il 27 luglio 2004 (ossia dodici mesi precedenti la presentazione della domanda), oppure se il diritto ad una tale rendita sia sorto tra tale data ed il 17 dicembre 2007,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5</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In concreto, è pacifico che il ricorrente ha versato contributi all'AVS/AI svizzera durante più di un anno intero e, pertanto, adempie la condizione della durata minima di contribuzione, alla quale la legge subordina l'erogazione di una rendita.</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6.5</w:t>
      </w:r>
    </w:p>
    <w:p>
      <w:r>
        <w:t>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7.1</w:t>
      </w:r>
    </w:p>
    <w:p>
      <w:r>
        <w:t>Una rendita d'invalidità limitata nel tempo corrisponde, materialmente, ad una revisione ai sensi dell'art. 17 cpv. 1 LPGA. Bisogna perciò conformarsi ai principi di questa disposizione per verificare la legalità della decisione impugnata. Secondo l'art. 17 cpv. 1 LPGA,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dell'ordinanza federale sull'assicurazione per l'invalidità/ OAI, RS 831.201).</w:t>
      </w:r>
    </w:p>
    <w:p>
      <w:r>
        <w:rPr>
          <w:b/>
        </w:rPr>
        <w:t>E. 7.2</w:t>
      </w:r>
    </w:p>
    <w:p>
      <w:r>
        <w:t>Assegnando retroattivamente una rendita d'invalidità degressiva e/o limitata nel tempo, l'autorità amministrativa disciplina un rapporto giuridico suscettibile di essere, in caso di contestazione, oggetto della lite e dell'impugnazione.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w:t>
      </w:r>
    </w:p>
    <w:p>
      <w:r>
        <w:rPr>
          <w:b/>
        </w:rPr>
        <w:t>E. 8</w:t>
      </w:r>
    </w:p>
    <w:p>
      <w:r>
        <w:t>Il ricorrente contesta la fondatezza della decisione del 17 dicembre 2007, con la quale l'UAIE gli ha riconosciuto il diritto ad una rendita intera d'invalidità limitata dal 1° luglio 2005 al 30 settembre 2006, e chiede il riconoscimento del diritto ad una mezza rendita d'invalidità, implicitamente dal 1° ottobre 2006 e senza limitazioni nel tempo.</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In concreto, l'UAIE si è basato sulle risultanze dell'istruttoria eseguita dalla Suva per valutare la diagnosi, la capacità lavorativa e il grado d'invalidità del ricorrente. Per quanto riguarda la diagnosi, il ricorrente ha subito una rottura della cuffia rotatoria della spalla destra e presenta degli esiti d'intervento chirurgico artroscopico in lesione degenerata della stessa cuffia. Questa conclusione è univoca agli atti, per cui il collegio giudicante non intravede motivi per discostarsene. A questo proposito, è opportuno rilevare che dall'incarto aggiornato della Suva, prodotto l'8 ottobre 2009, non risultano altri elementi diagnostici. Nell'ambito della presente procedura, il ricorrente ha inoltre fatto valere, per la prima volta, dei problemi al rachide lombare, dei quali si dirà al paragrafo 11.2.</w:t>
      </w:r>
    </w:p>
    <w:p>
      <w:r>
        <w:rPr>
          <w:b/>
        </w:rPr>
        <w:t>E. 10.2</w:t>
      </w:r>
    </w:p>
    <w:p>
      <w:r>
        <w:t>È opportuno rammentare che le affezioni appena menzionate devono, dal profilo giuridico, essere esaminate alla luce dell'art. 29 cpv. 1 lett. b LAI. Si tratta,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dell'invalidità solo a partire dal momento in cui ha subito, senza interruzione notevole, un'incapacità lavorativa media del 40% almeno durante un anno.</w:t>
      </w:r>
    </w:p>
    <w:p>
      <w:r>
        <w:rPr>
          <w:b/>
        </w:rPr>
        <w:t>E. 11.1</w:t>
      </w:r>
    </w:p>
    <w:p>
      <w:r>
        <w:t>Per quanto concerne l'incapacità lavorativa, il dott. DL._______, nella perizia E 213 del 13 marzo 2006 (incarto AI, doc. 12/3), ha formulato un grado d'invalidità generale del 50%, rilevando comunque che la capacità lavorativa del ricorrente può essere migliorata tramite una cura di riabilitazione. Egli ha stabilito, in particolare, che il ricorrente può svolgere lavori leggeri, con pause supplementari, evitando l'umidità, il freddo, frequenti flessioni, il trasporto e il sollevamento di pesi, come pure ritmi particolarmente stressanti, e alternando deambulazione, stazione eretta e posizione seduta. Dal canto suo, il dott. G._______, medico della Suva, ha constatato, nell'ambito della visita medica di chiusura del 26 giugno 2006, la stabilizzazione dello stato di salute del ricorrente, riconoscendogli una capacità lavorativa nella massima misura possibile dal 27 giugno 2006, ed ha valutato dettagliatamente il tipo d'attività esigibili (incarto Suva, doc. 34). Questa valutazione non è stata messa in discussione da nessun altro documento medico agli atti, per cui il collegio giudicante non può che aderirvi.</w:t>
      </w:r>
    </w:p>
    <w:p>
      <w:r>
        <w:rPr>
          <w:b/>
        </w:rPr>
        <w:t>E. 11.2</w:t>
      </w:r>
    </w:p>
    <w:p>
      <w:r>
        <w:t>In fase di ricorso, il dott. E._______, medico dell'UAI, ha considerato, nel suo rapporto del 12 marzo 2008, che i problemi al rachide lombare fatti valere dal ricorrente, sulla base di un certificato del dott. Z._______, medico curante, del 6 novembre 2007, non sono per nulla comprovati, mancando qualsiasi elemento relativo alla loro evoluzione e al loro stato. Il medico dell'UAI ha rilevato che, nel detto certificato, i problemi lombari sono qualificati di tipo lombo-radicolare, mentre il referto di tomografia assiale computerizzata del 13 dicembre 2007, che avrebbe dovuto confermare tale diagnosi, non ha evidenziato nessun conflitto radicolare, ma mostra unicamente una protrusione discale, e non un prolasso discale, patologia tipica in presenza d'una problematica radicolare. Il dott. E._______ ha inoltre sottolineato, rispecchiando in questo la valutazione espressa dal dott. H._______ nel suo rapporto del 23 gennaio 2008, che i problemi al rachide non sono atti a limitare la capacità lavorativa del ricorrente. È quindi lecito considerare che il ricorrente, come stabilito dal dott. G._______ (incarto Suva, doc. 34), è in grado di svolgere attività confacenti al suo stato di salute nella massima misura possibile dal 27 giugno 2006. Ciò stante, tenuto conto che i problemi al rachide sono stati fatti valere unicamente in fase di ricorso, è legittimo supporre che essi sono apparsi dopo il 17 dicembre 2007, data della decisione impugnata, per cui esorbitano dal periodo d'esame che vincola questo Tribunale.</w:t>
      </w:r>
    </w:p>
    <w:p>
      <w:r>
        <w:rPr>
          <w:b/>
        </w:rPr>
        <w:t>E. 12</w:t>
      </w:r>
    </w:p>
    <w:p>
      <w:r>
        <w:t>Per quanto attiene al calcolo del grado d'invalidità, la Suva lo ha eseguito a due riprese, una prima volta con la decisione del 28 agosto 2007 (22%; incarto AI, doc. 1) ed una seconda volta con la decisione su opposizione del 29 gennaio 2009 (23%; incarto Suva, doc. 135 e 136). In entrambi i casi, la Suva ha ritenuto annualmente il salario da valido indicato dal datore di lavoro, ossia Fr. 62'803.67 nel 2007, ed un salario da invalido di Fr. 60'144.48, secondo la Rilevazione svizzera della struttura dei salari 2006 (RSS), tabella TA1, categoria 4, uomini, totale per un operaio chiamato a svolgere lavori leggeri e non qualificati attività leggera, adeguato ad un rincaro dell'1.6% per il 2007 e ridotto del 20% a titolo di deduzione sociale, ossia Fr. 48'115.58 (nella decisione del 28 agosto 2007, la Suva si era basata su un valore di Fr. 48'916.20). Comparando il salario da valido con quello da invalido, come prescritto dall'art. 16 LPGA, la Suva ha ottenuto un grado d'invalidità del 22% (decisione del 28 agosto 2007), rispettivamente un grado del 23% (decisione su opposizione del 29 gennaio 2009). Il calcolo effettuato dalla Suva risulta essere corretto e questo Tribunale può pertanto concludere che il tasso d'invalidità del ricorrente non supera il 23% dal 27 giugno 2006. Il ricorrente stesso, del resto, non ha sollevato alcuna rimostranza in questo senso, riferendosi piuttosto alle difficoltà di trovare concretamente un'attività esigibile, dal punto di visto medico, sul mercato del lavoro. Ora,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13</w:t>
      </w:r>
    </w:p>
    <w:p>
      <w:r>
        <w:t>Di conseguenza, attribuendo al ricorrente una rendita intera d'invalidità limitata nel tempo, ossia dal 1° luglio 2005 al 30 settembre 2006, l'UAIE ha operato secondo le norme legali pertinenti citate nei considerandi precedenti, ed in particolare gli art. 29 cpv. 1 lett. b LAI e 88a cpv. 1 OAI. Ne discende che il ricorso deve essere respinto e la decisione impugnata confermata.</w:t>
      </w:r>
    </w:p>
    <w:p>
      <w:r>
        <w:rPr>
          <w:b/>
        </w:rPr>
        <w:t>E. 14</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22 agosto 2008.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