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C-6232/2011 vom 10. Januar 2013</w:t>
      </w:r>
    </w:p>
    <w:p>
      <w:r>
        <w:t>Bundesverwaltungsgericht, 2013-01-10, FR</w:t>
      </w:r>
    </w:p>
    <w:p>
      <w:r>
        <w:rPr>
          <w:b/>
        </w:rPr>
        <w:t xml:space="preserve">Quelle: </w:t>
      </w:r>
      <w:r>
        <w:t>https://mcp.opencaselaw.ch/entscheid/bvger_C-6232_2011</w:t>
      </w:r>
    </w:p>
    <w:p>
      <w:r>
        <w:t>FR: TAF C-6232/2011 du 10 janvier 2013</w:t>
      </w:r>
    </w:p>
    <w:p>
      <w:r>
        <w:t>IT: TAF C-6232/2011 del 10 gennaio 2013</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et l'avance de frais de procédure requise ayant été effectuée, le recours est recevable.</w:t>
      </w:r>
    </w:p>
    <w:p>
      <w:r>
        <w:rPr>
          <w:b/>
        </w:rPr>
        <w:t>E. 2.1</w:t>
      </w:r>
    </w:p>
    <w:p>
      <w:r>
        <w:t>L'objet de la décision attaquée du 14 octobre 2011 concerne la réduction de la rente entière d'invalidité - dont bénéficiait la recourante depuis le 1er octobre 1997 - à un quart de rente, à partir du 1er décembre 2011. Le litige porte uniquement sur la réduction de cette prestation.</w:t>
      </w:r>
    </w:p>
    <w:p>
      <w:r>
        <w:rPr>
          <w:b/>
        </w:rPr>
        <w:t>E. 2.2</w:t>
      </w:r>
    </w:p>
    <w:p>
      <w:r>
        <w:t>La recourante conclut aussi à être mise au bénéfice de mesures de réadaptation. Dans la mesure où l'intéressée conclut à l'octroi d'une mesure de réadaptation, le recours concerne un point sur lequel l'autorité inférieure ne s'est pas prononcée d'une manière qui la lie sous la forme d'une décision. Faute de décision sur les mesures de réadaptation, le Tribunal de céans ne peut dès lors se prononcer au fond sur cette conclusion (ATF 125 V 414 consid. 1a).</w:t>
      </w:r>
    </w:p>
    <w:p>
      <w:r>
        <w:rPr>
          <w:b/>
        </w:rPr>
        <w:t>E. 2.3.1</w:t>
      </w:r>
    </w:p>
    <w:p>
      <w:r>
        <w:t>La recourante conteste également devoir être tenue selon la décision attaquée de suivre un traitement thérapeutique ne lui convenant pas.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w:t>
      </w:r>
    </w:p>
    <w:p>
      <w:r>
        <w:rPr>
          <w:b/>
        </w:rPr>
        <w:t>E. 2.3.2</w:t>
      </w:r>
    </w:p>
    <w:p>
      <w:r>
        <w:t>Or si dans sa décision de rente, l'intimé a certes cité l'art. 21 al. 4 LPGA, il n'a toutefois pas enjoint l'assurée de se soumettre à un traitement spécifié, en soi l'indication d'un dosage "plus élevé" d'un antidépresseur ne constitue pas l'indication spécifiée d'un traitement. Le caractère "plus élevé" est en effet in casu indéterminé. La décision ne comprend par ailleurs aucune mise en demeure assortie d'un temps de réflexion. Les conditions d'application de l'art. 21 al. 4 LPGA ne sont dès lors pas réalisées (cf. arrêt du Tribunal fédéral 9C_961/2008 consid. 6.2 et arrêt du Tribunal administratif fédéral C-5930/2008 du 7 juillet 2010 consid. 7.1). En fait, l'indication de l'autorité inférieure constituait plutôt une simple invitation et non une réelle injonction qui, en cas de non observation, aurait conduit sans autre à la suppression de la rente. Le recours contre cette invitation est donc irrecevable faute d'intérêt pour la recourante à le contester.</w:t>
      </w:r>
    </w:p>
    <w:p>
      <w:r>
        <w:rPr>
          <w:b/>
        </w:rPr>
        <w:t>E. 3.1</w:t>
      </w:r>
    </w:p>
    <w:p>
      <w:r>
        <w:t>La recourante est citoyenne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3.2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3.3</w:t>
      </w:r>
    </w:p>
    <w:p>
      <w:r>
        <w:t>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4</w:t>
      </w:r>
    </w:p>
    <w:p>
      <w:r>
        <w:t>L'examen du droit aux prestations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5e révision de la LAI entrées en vigueur le 1er janvier 2008 sont applicables et les dispositions citées ci-après sont sauf précision contraire celles en vigueur à compter du 1er janvier 2008. Les dispositions de la 6ème révision de la LAI (premier volet) en vigueur depuis le 1er janvier 2012 (RO 2011 5659, FF 2010 1647) ne sont pas applicables. Les documents médicaux produits après la décision attaquée ne peuvent être pris en considération que dans la mesure où ils permettent une meilleure compréhension de l'état de santé de l'assuré jusqu'au jour de la décision dont est recours.</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Toutefois, les rentes correspondant à un taux d'invalidité inférieur à 50% ne sont versées qu'aux assurés qui ont leur domicile et leur résidence habituelle en Suisse (art. 28 al.1ter LAI). Depuis l'entrée en vigueur de l'ALCP, les ressortissants suisses et de l'Union européenne qui présentent un taux d'invalidité de 40% au moins, ont droit à un quart de rente en application de l'art. 28 al. 1 LAI à partir du 1er juin 2002 s'ils ont leur domicile et leur résidence habituelle dans un Etat membre de l'UE (ATF 130 V 253 consid. 2.3).</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Un motif de révision au sens de l'art. 17 LPGA doit clairement ressortir du dossier. La réglementation sur la révision ne saurait en effet constituer un fondement juridique à un réexamen sans condition du droit à la rente (arrêt du Tribunal fédéral I 8/04 du 12 octobre 2005 consid. 2.1; Michel Valterio, Droit de l'assurance-vieillesse et survivants (AVS) et de l'assurance-invalidité (AI), Zurich 2011, n° 3054 ss, 3065). Selon une jurisprudence constante, une amélioration de la capacité de travail attestée médicalement conduit en principe, eu égard au devoir de se réadapter par soi-même, à une amélioration correspondante de la capacité de gain. Une appréciation contraire ne peut s'ensuivre qu'à titre exceptionnel, c'est-à-dire lorsque, nonobstant les conclusions médicales, il appert du dossier que l'assuré ne pourra pas surmonter par lui-même et sans l'application de mesures préalables ses empêchements compte tenu de la longue durée du versement de la rente et des exigences du marché du travail (arrêt du Tribunal fédéral 9C_163/2009 du 10 septembre 2010 consid. 4). Comme l'a jugé le Tribunal fédéral, on ne saurait ainsi notamment supprimer une rente sans avoir au préalable examiné les possibilités de réadaptation dans le cas d'un assuré qui a touché cette rente durant de très nombreuses années et qui ne dispose plus de l'expérience professionnelle lui permettant de se réadapter par lui-même (arrêt du Tribunal fédéral 9C_768/2009 du 10 septembre 2010 consid. 4). Il en va différemment si la durée de l'octroi de la rente a été relativement courte et si des mesures de réadaptation ne s'imposent pas au regard de l'activité exercée par l'assuré ou qu'il pourrait exercer (arrêt du Tribunal fédéral 9C_950/2009 du 25 septembre 2010 consid. 4; Valterio, op. cit., n° 3060).</w:t>
      </w:r>
    </w:p>
    <w:p>
      <w:r>
        <w:rPr>
          <w:b/>
        </w:rPr>
        <w:t>E. 6.2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6.3</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Valterio, op. cit., n° 3063).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6.4</w:t>
      </w:r>
    </w:p>
    <w:p>
      <w:r>
        <w:t>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ATF 125 V 369 consid. 2 et ATF 112 V 372 consid. 2).</w:t>
      </w:r>
    </w:p>
    <w:p>
      <w:r>
        <w:rPr>
          <w:b/>
        </w:rPr>
        <w:t>E. 6.5</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(cf. l'arrêt du Tribunal fédéral I 569/06 du 20 novembre 2006 consid. 3.3; Valterio, op. cit.,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w:t>
      </w:r>
    </w:p>
    <w:p>
      <w:r>
        <w:rPr>
          <w:b/>
        </w:rPr>
        <w:t>E. 7</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8.3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Tribunal fédéral 8C_558/2008 du 17 mars 2009 consid. 2.4.2). Toutefois le simple fait qu'un rapport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9.1</w:t>
      </w:r>
    </w:p>
    <w:p>
      <w:r>
        <w:t>Dans le cadre de l'octroi de la rente, le Dr B._______ de l'OAI-GE, sur la base du dossier médical, retint dans un rapport du 17 octobre 2000 l'incidence d'une fatigue résultant d'une trithérapie incompatible avec une quelconque activité salariée, une lipoatrophie considérable et un état dépressif inhibant toute activité. Il nota une bonne réponse au traitement suivi mais un pronostic variable et proposa l'admission d'une incapacité de travail totale avec révision dans les 2 ans avec charge de suivi du syndrome dépressif. Il est manifeste qu'à ce moment des mesures de réadaptation n'étaient pas envisageables, contrairement à ce que la recourante a énoncé dans ses écritures, de plus l'intéressée était déjà partie en Bretagne depuis février 1999.</w:t>
      </w:r>
    </w:p>
    <w:p>
      <w:r>
        <w:rPr>
          <w:b/>
        </w:rPr>
        <w:t>E. 9.2</w:t>
      </w:r>
    </w:p>
    <w:p>
      <w:r>
        <w:t>Il appert de l'expertise du CEMed du 21 avril 2011, établie à la suite de la consultation du 13 janvier précédent, un état de santé sensiblement amélioré. La recourante ne le conteste d'ailleurs pas du moins sur le plan physique. Il sied de rappeler ici les constatations objectives de la Dresse D._______ du SMR Rhône datées du 30 juin 2010 établies sur la base des examens de laboratoires au dossier selon lesquelles la charge virale très élevée en 1996 (439'000 copies) avait rapidement diminué pour devenir indétectable alors que la formule sanguine qui montrait une anémie, une thrombopénie et une leucopénie s'était totalement corrigée, notant que les CD4 qui étaient abaissés à 51 en 1996 s'étaient également totalement corrigés en 2010 (529 au 26 avril 2010). La Dresse D._______ releva que l'ensemble du bilan biologique était normal en particulier les tests hépatiques et que la tolérance du traitement était certainement meilleure que dans les premières années. Il ressort du rapport d'experts CEMed notamment, sur le plan physique, un état général conservé, une bonne trophicité des membres supérieurs, une bonne tonicité des quadriceps et des fessiers, une vivacité et une démarche fluide, la possibilité du maintien de la position assise [au cours de l'entretien] sans présenter d'inconfort, et, sur le plan psychique, un status orienté aux trois modes, pas de trouble de la vigilance ni cognitifs, des compétences intellectuelles dans la norme, pas de ralentissement psychomoteur ni d'accélération psychique, pas de signe neurovégétatifs d'angoisse, un mode d'être paraissant euthymique bien que des crises colériques soient évoquées à l'entretien, une émotivité à l'évocation d'antécédents psychiatriques.</w:t>
      </w:r>
    </w:p>
    <w:p>
      <w:r>
        <w:rPr>
          <w:b/>
        </w:rPr>
        <w:t>E. 9.3</w:t>
      </w:r>
    </w:p>
    <w:p>
      <w:r>
        <w:t>Sur le plan psychologique la recourante fait valoir une fragilité, une anxiété générale, une fatigue récurrente ne lui permettant pas, à son avis, la reprise d'un emploi. Il sied de relever que ses plaintes ont été évaluées par des experts qui n'ont pas mis en évidence de suivi psychiatrique ni l'existence d'une pathologie psychiatrique. Leurs constatations ne sont pas contredites par des rapports de nature psychiatrique qui mettraient en évidence l'existence d'une telle pathologie. La fragilité, l'anxiété et la fatigue évoquées par l'intéressée ont été dûment prises en compte dans l'évaluation de la capacité de travail résiduelle de l'intéressée dont l'examen de la CEMed en janvier 2011 n'a pas relevé d'épisodes d'anxiété paroxistiques, de symptômes résiduels de dépression ni fatigue entrant dans le cadre de troubles psychiques. Les experts ont estimé que ces troubles pouvaient justifier tout au plus une diminution de rendement de 10%. Il s'ensuit de ce qui précède que le Tribunal de céans ne peut que retenir l'existence d'un status manifestement amélioré depuis la décision d'octroi de la rentre entière en février 2002 en raison d'un status VIH+ de stade C3 et d'un syndrome de dépression, atteintes non constatées lors de l'examen de janvier 2011. Dans ses écritures la recourante fait encore valoir que les limitations de travail évoquées dans le rapport de la Dresse C._______ n'ont pas été prises en compte. Il convient de relever à ce titre que le rapport d'expertise CEMed a relevé la possibilité pour l'intéressée de rester assise sans manifester de gêne et de douleurs tout au long de l'entretien, que l'examen clinique n'a pas mis en évidence de limitations ostéo-articulaires et plus généralement que le rapport de la Dresse C._______ n'a pas pu être confirmé à l'examen clinique lors de l'expertise du 11 janvier 2011.</w:t>
      </w:r>
    </w:p>
    <w:p>
      <w:r>
        <w:rPr>
          <w:b/>
        </w:rPr>
        <w:t>E. 10.1</w:t>
      </w:r>
    </w:p>
    <w:p>
      <w:r>
        <w:t>Selon la jurisprudence, une rente AI octroyée à un assuré âgé de plus de 55 ans ou pendant plus de 15 ans ne saurait être réduite ou supprimée sans que la capacité de travail résiduelle médico-théorique mise en évidence sur le plan médical soit objectivement confirmée. Il est en particulier nécessaire d'examiner si la réintégration dans le marché du travail doit être précédée d'une mesure de réintégration et/ou de réadaptation, sauf s'il apparaît que la personne assurée serait capable de réintégrer le marché du travail par ses propres moyens (arrêts du Tribunal fédéral 9C_368/2010 du 31 janvier 2011 consid. 5.2.2.2 et 9C_163/2009 du 10 septembre 2010 consid. 4.2.2., 9C_254/2011 du 15 novembre 2011 consid. 7.1.2.2).</w:t>
      </w:r>
    </w:p>
    <w:p>
      <w:r>
        <w:rPr>
          <w:b/>
        </w:rPr>
        <w:t>E. 10.2</w:t>
      </w:r>
    </w:p>
    <w:p>
      <w:r>
        <w:t>In casu l'assurée compte une longue période de bénéfice d'une rente entière qui est toutefois inférieure à 15 ans ; en outre, elle n'a pas atteint l'âge de 55 ans. Les critères fixés par la jurisprudence ci-dessus ne sont donc pas remplis. À toutes fins utiles, il convient de relever qu'il appartient en principe à la personne assurée d'entreprendre de son propre chef tout ce qu'on peut raisonnablement attendre d'elle pour tirer profit de l'amélioration de sa capacité de travail médicalement documentée (réadaptation par soi-même; cf. Ulrich Meyer, Bundesgesetz über die Invalidenversicherung, 2ème éd. 2010, p. 383).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 revenus (arrêt du Tribunal fédéral 9C_254/2011 consid. 7.1.2.1), à moins d'un déconditionnement pathologique grave. En l'espèce, la recourante ne présente nullement, indépendamment du critère de l'âge, un déconditionnement pathologique qui devrait entraîner de la part de l'OAIE un examen spécial de sa capacité de réintégration, elle bénéficie selon le rapport d'expertise CEMed de ressources lui permettant de trouver l'énergie nécessaire à se réintégrer.</w:t>
      </w:r>
    </w:p>
    <w:p>
      <w:r>
        <w:rPr>
          <w:b/>
        </w:rPr>
        <w:t>E. 11.1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11.2</w:t>
      </w:r>
    </w:p>
    <w:p>
      <w:r>
        <w:t>Le gain d'invalide est une donnée théorique, même s'il est évalué sur la base de statistiques de l'Enquête suisse sur la structure des salaires (ESS).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11.3</w:t>
      </w:r>
    </w:p>
    <w:p>
      <w:r>
        <w:t>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de l'ESS.</w:t>
      </w:r>
    </w:p>
    <w:p>
      <w:r>
        <w:rPr>
          <w:b/>
        </w:rPr>
        <w:t>E. 12.1</w:t>
      </w:r>
    </w:p>
    <w:p>
      <w:r>
        <w:t>En l'espèce il y a lieu de procéder à une évaluation de l'invalidité selon la méthode générale par une comparaison de revenus sur la base de l'ESS 2010 indexée 2011 vu que la suppression intervient le 1er décembre 2011. En effet, selon la jurisprudence, les salaires avant et après invalidité doivent être pris en compte indexés jusqu'à la date de la survenance du droit théorique éventuel à la rente suite au délai d'attente d'une année (ATF 128 V 174 et 129 V 222) ou, cas échéant, à la date retenue ensuite d'une révision.</w:t>
      </w:r>
    </w:p>
    <w:p>
      <w:r>
        <w:rPr>
          <w:b/>
        </w:rPr>
        <w:t>E. 12.2</w:t>
      </w:r>
    </w:p>
    <w:p>
      <w:r>
        <w:t>Le salaire annuel de l'assurée de 52'548.- francs en 1994 (base 1939: 2051 pts) actualisé 2011 (base 1939: 2604 pts) se monte à 66'716.23 francs selon l'évolution des salaires nominaux selon l'ESS, soit par mois à 5'559.68 francs.</w:t>
      </w:r>
    </w:p>
    <w:p>
      <w:r>
        <w:rPr>
          <w:b/>
        </w:rPr>
        <w:t>E. 12.3</w:t>
      </w:r>
    </w:p>
    <w:p>
      <w:r>
        <w:t>Le salaire après invalidité doit être fixé sur la base des données statistiques résultant de l'ESS 2010 (table TA1) indexé 2011. En l'occurrence les activités de substitution possibles s'inscrivent dans la détermination du revenu médian toutes branches confondues des femmes dans le secteur privé pour des activités simples et répétitives (niveau 4) à 100%, soit en 2010 4'225.- francs pour 40 h./sem. et 4'394.- francs pour 41.6 h./sem., sous déduction de 20% pour tenir compte de l'âge de l'assurée, de sa période d'inactivité et de ses restrictions personnelles aux activités légères, soit 3'515.20 francs valeur 2010 (base 1939: 2579 pts). Indexé 2011 (base 1939: 2604 pts) ce montant s'élève à 3'549.27- francs par mois. Pris en compte à 90% ce revenu s'élève à 3'194.34. De nombreuses activités d'entre elles peuvent être exercées en position assise et debout autorisant le changement fréquent de position, sans port de charges de plus de 15kg, sans entraîner de fatigabilité majeure ni de stress en étant pour certaines du type de celle précédemment exercée, de sorte que ces activités sont adaptées à la situation de la recourante. De plus, la majeure partie de ces postes ne nécessite pas de formation particulière autre qu'une mise au courant initiale.</w:t>
      </w:r>
    </w:p>
    <w:p>
      <w:r>
        <w:rPr>
          <w:b/>
        </w:rPr>
        <w:t>E. 12.4</w:t>
      </w:r>
    </w:p>
    <w:p>
      <w:r>
        <w:t>En comparant le salaire avant invalidité de 5'559.68 francs par mois avec celui après invalidité de 3'194.34 francs, on obtient une perte de gain de 42.54% arrondie à 43% ([5'559.68 - 3'194.34] : 5'559.68 x 100). Ce taux ouvre le droit à un quart de rente dès le 1er décembre 2011 (cf. consid. 6.5). Vu ce qui précède le recours doit être rejeté dans la mesure où il est recevable (consid. 2 ci-dessus) et la décision entreprise confirmée.</w:t>
      </w:r>
    </w:p>
    <w:p>
      <w:r>
        <w:rPr>
          <w:b/>
        </w:rPr>
        <w:t>E. 13.1</w:t>
      </w:r>
    </w:p>
    <w:p>
      <w:r>
        <w:t>Vu l'issue de la procédure, les frais de celle-ci, fixés à 400 francs, sont mis à la charge de la recourante (art. 63 al. 1 PA, applicable par le truchement de l'art. 37 LTAF). Ils sont compensés par l'avance de frais du même montant dont elle s'est acquittée au cours de l'instruction .</w:t>
      </w:r>
    </w:p>
    <w:p>
      <w:r>
        <w:rPr>
          <w:b/>
        </w:rPr>
        <w:t>E. 13.2</w:t>
      </w:r>
    </w:p>
    <w:p>
      <w:r>
        <w:t>Il n'est pas alloué de dépens (art. 7 al. 1 a contrario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