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C-6232/2008 vom 10. März 2010</w:t>
      </w:r>
    </w:p>
    <w:p>
      <w:r>
        <w:t>Bundesverwaltungsgericht, 2010-03-10, DE</w:t>
      </w:r>
    </w:p>
    <w:p>
      <w:r>
        <w:rPr>
          <w:b/>
        </w:rPr>
        <w:t xml:space="preserve">Quelle: </w:t>
      </w:r>
      <w:r>
        <w:t>https://mcp.opencaselaw.ch/entscheid/bvger_C-6232_2008</w:t>
      </w:r>
    </w:p>
    <w:p>
      <w:r>
        <w:t>FR: TAF C-6232/2008 du 10 mars 2010</w:t>
      </w:r>
    </w:p>
    <w:p>
      <w:r>
        <w:t>IT: TAF C-6232/2008 del 10 marzo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29. August 2008. Die Beschwerdeführerin hat frist- und formgerecht (Art. 60 ATSG) Beschwerde erhoben. Durch die Verfügung ist sie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Die Beschwerdeführerin ist Staatsangehörige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insbesondere dem IVG sowie der Verordnung über die Invalidenversicherung vom 17. Januar 1961 (IVV, SR 831.201).</w:t>
      </w:r>
    </w:p>
    <w:p>
      <w:r>
        <w:rPr>
          <w:b/>
        </w:rPr>
        <w:t>E. 4.1</w:t>
      </w:r>
    </w:p>
    <w:p>
      <w:r>
        <w:t>Im Folgenden zu prüfen ist, ob die Beschwerdeführerin Anspruch auf eine schweizerische Invalidenrente hat. Weil in zeitlicher Hinsicht grundsätzlich diejenigen Rechtssätze massgebend sind, die bei der Erfüllung des zu Rechtsfolgen führenden Tatbestandes Geltung haben, weil zudem nach ständiger Praxis der Sozialversicherungsgerichte bei der Beurteilung eines Falles grundsätzlich auf den bis zum Zeitpunkt des Erlasses des angefochtenen Verwaltungsaktes (hier: 29. August 2008) eingetretenen Sachverhalt abgestellt wird (BGE 132 V 2 E. 1, 129 V 4 E. 1.2 mit Hinweisen), und weil schliesslich ein allfälliger Leistungsanspruch für die Zeit vor einem Rechtswechsel aufgrund der bisherigen und ab diesem Zeitpunkt nach den neuen Normen zu prüfen ist (pro rata temporis; BGE 130 V 445), sind im vorliegenden Fall anwendbar: das IVG ab dem 1. Januar 2001 in der Fassung vom 23. Juni 2000 (AS 2000 2685), ab dem 1. Juni 2002 in der Fassung vom 8. Oktober 1999 (AS 2002 685 sowie AS 2002 701), ab dem 1. Januar 2003 in der Fassung vom 6. Oktober 2000 (AS 2002 3371 und 3453), ab dem 1. Januar 2004 in der Fassung vom 21. März 2003 (AS 2003 3837; 4. IVG-Revision) und ab dem 1. Januar 2008 die zu diesem Zeitpunkt in Kraft getretenen Bestimmungen der 5. IV-Revision (AS 2007 5129 bzw. AS 2007 5155); im Übrigen finden die ab 1. Januar 2003 geltenden Bestimmungen des ATSG und jene der entsprechenden Verordnung vom 11. September 2002 (ATSV, SR 830.11)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(in der von 2004 bis Ende 2007 geltenden Fassung) bzw. Art. 28 Abs. 2 IVG (in der ab 2008 geltenden Fassung)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(in der bis zum 31. Dezember 2007 geltenden Fassung) respektive Art. 29 Abs. 4 IVG (in der ab 2008 geltenden Fassung) werden Renten, die einem Invaliditätsgrad von weniger als 50% entsprechen, jedoch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Für die Annahme bleibender Invalidität im Sinne von Art. 29 Abs. 1 Bst. a IVG und Art. 29 IVV (in der bis zum 31. Dezember 2007 geltenden Fassung)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5.7</w:t>
      </w:r>
    </w:p>
    <w:p>
      <w:r>
        <w:t>Zusammenfassend ist somit im Folgenden vom Bundesverwaltungsgericht zu prüfen, ob für die Beschwerdeführerin zwischen dem 3. Februar 2002 (ein Jahr vor Antragstellung) und dem 26. August 2008 (Datum der angefochtenen Verfügung) ein Anspruch auf eine Invalidenrente bestand oder ein solcher in diesem Zeitraum entstanden ist.</w:t>
      </w:r>
    </w:p>
    <w:p>
      <w:r>
        <w:rPr>
          <w:b/>
        </w:rPr>
        <w:t>E. 6</w:t>
      </w:r>
    </w:p>
    <w:p>
      <w:r>
        <w:t>Die Beschwerdeführerin hat zuletzt angeblich als Küchengehilfin in der Schweiz gearbeitet. Diese Arbeit hat sie gemäss eigenen Angaben am 30. Juni 1998 aufgegeben, um definitiv in ihre Heimat zurückzukehren. Dort hat sie seither keine Erwerbstätigkeit mehr aufgenommen und sich nurmehr um den Haushalt gekümmert (act. 8 IV). Unter diesen Umständen - und nachdem aus den Akten nicht hervorgeht, dass eine Erwerbstätigkeit aus gesundheitlichen Gründen definitiv aufgegeben wurde, was von der Beschwerdeführerin denn auch nie behauptet wurde - ist für die IV-Bemessung die Hausfrauentätigkeit massgebend. Dabei ist aufgrund der medizinischen Beurteilung zu prüfen, ob und wieviel der Beschwerdeführerin im Haushalt noch zumutbar ist, nachdem sie nach eigenen Angaben einige Tätigkeiten selbst erledigen kann und sich bei anderen, grösseren Putzarbeiten helfen lassen muss (act. 7 IV).</w:t>
      </w:r>
    </w:p>
    <w:p>
      <w:r>
        <w:rPr>
          <w:b/>
        </w:rPr>
        <w:t>E. 6.1</w:t>
      </w:r>
    </w:p>
    <w:p>
      <w:r>
        <w:t>Den Akten ist zu entnehmen, dass die Beschwerdeführerin im Wesentlichen an einer rezidivierenden depressiven Störung (F 33.1 des ICD-10: Störung, die durch wiederholte depressive Episoden gekennzeichnet ist, wobei die gegenwärtige Episode mittelgradig ist) und an einer Dysthymie (F 34.1 des ICD-10: chronische, wenigstens mehrere Jahre andauernde depressive Verstimmung, die weder schwer noch hinsichtlich einzelner Episoden anhaltend genug ist, um die Kriterien einer schweren, mittelgradigen oder leichten rezidivierenden depressiven Störung zu erfüllen) leidet. Neben diesen psychischen Beschwerden, welche bei der Beschwerdeführerin im Vordergrund stehen, leidet diese in somatischer Hinsicht seit Jahren an beidseitiger Schwerhörigkeit, Schulterbeschwerden links, sowie neuerdings an Diabetes mellitus und Hypertonie. Dabei handelt es sich insgesamt um labiles pathologisches Geschehen, so dass ein allfälliger Rentenanspruch erst nach der gesetzlichen Wartezeit von einem Jahr entstehen kann (Art. 29 Abs. 1 Bst. b in der bis zum 31. Dezember 2007 gültig gewesenen Fassung).</w:t>
      </w:r>
    </w:p>
    <w:p>
      <w:r>
        <w:rPr>
          <w:b/>
        </w:rPr>
        <w:t>E. 6.2</w:t>
      </w:r>
    </w:p>
    <w:p>
      <w:r>
        <w:t>Hinsichtlich des Einflusses der erwähnten Leiden auf die Arbeitsfähigkeit gehen die Meinungen der Ärzte, die sich mit dem Fall befasst haben, stark auseinander. Während der von der Vorinstanz zugezogene Psychiater davon ausgeht, dass die mittelgradigen, aber zeitlich begrenzten Episoden mit nur kurzfristigen Dekompensationen der unbestrittenen depressiven Störung die Beschwerdeführerin auf Dauer nicht daran hindere, die Haushaltsarbeit auszuführen, kommt die behandelnde portugiesische Psychiaterin, auf welche sich die Beschwerdeführerin stützt, zum Schluss, dass diese hauptsächlich wegen den genannten Hauptbeschwerden, auch angesichts des sehr tiefen IQ (zwischen 70 und 80), des zeitweiligen Verlustes der Kontrolle ihrer Impulse und der Persönlichkeitsstörung, zusammen mit den somatischen Leiden überhaupt nicht arbeitsfähig sei, weder im Haushalt noch in der früheren Erwerbstätigkeit als Putzfrau.</w:t>
      </w:r>
    </w:p>
    <w:p>
      <w:r>
        <w:rPr>
          <w:b/>
        </w:rPr>
        <w:t>E. 6.3</w:t>
      </w:r>
    </w:p>
    <w:p>
      <w:r>
        <w:t>Beeinträchtigungen der psychischen Gesundheit können in gleicher Weise wie körperliche Gesundheitsschäden eine Invalidität im Sinne von Art. 4 Abs. 1 IVG in Verbindung mit Art. 8 ATSG bewirken. Die Annahme eines psychischen Gesundheitsschadens, so auch der rezidivierenden depressiven Störung und der Dysthymie, setzen zunächst eine fachärztlich (psychiatrisch) gestellte Diagnose nach einem wissenschaftlich anerkannten Klassifikationssystem voraus (vgl. im Zusammenhang mit der Fibromyalgie BGE 131 V 49 E. 1.2, 130 V 398 ff. E. 5.3 und E. 6), was in casu vorliegt. Dabei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I 232/04 vom 10. Januar 2005, E. 5).</w:t>
      </w:r>
    </w:p>
    <w:p>
      <w:r>
        <w:rPr>
          <w:b/>
        </w:rPr>
        <w:t>E. 7.1</w:t>
      </w:r>
    </w:p>
    <w:p>
      <w:r>
        <w:t>Für die Beurteilung, ob die erwähnten psychischen Beschwerden die Beschwerdeführerin dauerhaft hindern, ihre Tätigkeit als Hausfrau auszuüben, ist der Richter - wie bereits ausgeführt wurde - auf die ärztlichen Gutachten und Berichte angewiesen.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Bei einander widersprechenden medizinischen Berichten darf das Gericht den Prozess nicht erledigen, ohne das gesamte Beweismaterial zu würdigen und die Gründe anzugeben, warum es auf die eine und nicht auf die andere medizinische These abstellt (vgl. dazu Urteil des EVG I 268/2005 E. 1.2 vom 26. Januar 2006, BGE 125 V 352 E. 3a). Die Rechtsprechung erachtet es mit dem Grundsatz der freien Beweiswürdigung als vereinbar, Richtlinien für die Beweiswürdigung in Bezug auf bestimmte Formen medizinischer Berichte und Gutachten aufzustellen (BGE 125 V 352 E. 3b; AHI 2001 S. 114 E. 3b). Berichte der behandelnden Ärzte etwa sind aufgrund deren auftragsrechtlicher Vertrauensstellung zum Patienten mit Vorbehalt zu würdigen (BGE 125 V 353 E. 3b/cc). Dies gilt für den allgemein praktizierenden Hausarzt wie auch den behandelnden Spezialarzt (Urteil des EVG I 655/05 E. 5.4 vom 20. März 2006). Deren Berichte sind allerdings dann geeignet, ein Administrativ- oder Gerichtsgutachten in Frage zu stellen und Anlass zu weiteren Abklärungen zu geben, wenn die behandelnden Ärzte wichtige - und nicht rein subjektiver ärztlicher Interpretation entspringende - Aspekte benennen, die im Rahmen der Begutachtung unerkannt oder ungewürdigt geblieben sind (Urteile des BGer 8C_908/2009 vom 17. Dezember 2009 E. 4.2.1, 9C_24/2008 vom 27. Mai 2008 E. 2.3.2). Schliesslich ist zum Beweiswert der von der Vorinstanz zugezogenen RAD-Berichte ergänzend festzuhalten, dass diese nicht selber medizinische Befunde erheben, sondern die vorhandenen Befunde aus medizinischer Sicht würdigen. Aufgrund dieser unterschiedlichen Funktion können und müssen sie nicht die an ein medizinisches Gutachten gestellten inhaltlichen Anforderungen erfüllen. Es kann ihnen aber nicht jegliche Aussen- oder Beweiswirkung abgesprochen werden. Sie sind vielmehr entscheidrelevante Aktenstücke (Urteil des BGer I 143/07 vom 14. September 2007 E. 3.3).</w:t>
      </w:r>
    </w:p>
    <w:p>
      <w:r>
        <w:rPr>
          <w:b/>
        </w:rPr>
        <w:t>E. 7.2</w:t>
      </w:r>
    </w:p>
    <w:p>
      <w:r>
        <w:t>Erforderlich ist im Sozialversicherungsrecht grundsätzlich der Beweisgrad der überwiegenden Wahrscheinlichkeit.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7.3</w:t>
      </w:r>
    </w:p>
    <w:p>
      <w:r>
        <w:t>Schliesslich ist daran zu erinnern, dass nach ständiger Rechtsprechung der Befund eines ausländischen Versicherungsorgans die invalidenversicherungsrechtliche Beurteilung nach schweizerischem Recht nicht bindet (Urteil des EVG I 435/02 vom 2. März 2003, ZAK 1989 S. 320 E. 2).</w:t>
      </w:r>
    </w:p>
    <w:p>
      <w:r>
        <w:rPr>
          <w:b/>
        </w:rPr>
        <w:t>E. 8</w:t>
      </w:r>
    </w:p>
    <w:p>
      <w:r>
        <w:t>Im vorliegenden Fall liegen wie gesagt ärztliche Berichte vor, welche im Wesentlichen nicht in der Diagnose, sondern hinsichtlich des Einflusses der diagnostizierten Beschwerden auf die Arbeitsfähigkeit der Beschwerdeführerin divergieren.</w:t>
      </w:r>
    </w:p>
    <w:p>
      <w:r>
        <w:rPr>
          <w:b/>
        </w:rPr>
        <w:t>E. 8.1</w:t>
      </w:r>
    </w:p>
    <w:p>
      <w:r>
        <w:t>Der von der Vorinstanz zugezogene Psychiater, auf dessen Berichte sich die erstgenannte abstützt, hat sich durchwegs, nämlich am 15. Juni 2008 (vgl. act. 69 IV) nach Einsichtnahme in den ausländischen psychiatrischen Bericht vom 22. April 2008 sowie am 16. August 2008 (vgl. act. 73 IV) nach Einsichtnahme in einen weiteren, im Rahmen des Vorbescheidverfahrens eingereichten Bericht vom 14. Mai 2008 dahingehend geäussert, dass die Beschwerdeführerin in ihrer Arbeitsfähigkeit nicht auf dauerhafte Weise eingeschränkt sei. Demgegenüber geht die behandelnde portugiesische Psychiaterin ganz allgemein und ohne spezifische, detailliertere Begründung im Ergebnis von einer vollständigen Arbeitsunfähigkeit aus. Beide Beurteilungen widersprechen sich wohl bezüglich der schweren, aber kurzen Dekompensationszeiten mit Klinikaufenthalt nicht. In diesen Zeiten dürfte die Beschwerdeführerin tatsächlich arbeitsunfähig gewesen sein. Dagegen gehen diese Berichte für die Zeiten zwischen den Dekompensationen derart auseinander, dass das Gericht nicht in der Lage ist zu beurteilen, ob die Beschwerdeführerin bis zum Erlass der Verfügung während eines Jahres ohne Unterbruch im Schnitt mindestens zu 40% arbeitsunfähig und danach mindestens in selbem Masse weiterhin invalid war.</w:t>
      </w:r>
    </w:p>
    <w:p>
      <w:r>
        <w:rPr>
          <w:b/>
        </w:rPr>
        <w:t>E. 8.2</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IV-Stelle entgegenstehen würden.</w:t>
      </w:r>
    </w:p>
    <w:p>
      <w:r>
        <w:rPr>
          <w:b/>
        </w:rPr>
        <w:t>E. 8.3</w:t>
      </w:r>
    </w:p>
    <w:p>
      <w:r>
        <w:t>Die Beschwerde ist somit insofern teilweise gutzuheissen, als die angefochtene Verfügung vom 29. August 2008 aufzuheben und die Sache zur weiteren Abklärung des rechtserheblichen Sachverhalts an die IV-Stelle zurückzuweisen ist. Die IV-Stelle wird angewiesen, ein polydisziplinäres - insbesondere ein psychiatrisches - Gutachten erstellen zu lassen und die Arbeitsunfähigkeit mit Blick auf die Haushaltstätigkeiten festzusetzen. Anschliessend ist eine neue Verfügung zu erlassen.</w:t>
      </w:r>
    </w:p>
    <w:p>
      <w:r>
        <w:rPr>
          <w:b/>
        </w:rPr>
        <w:t>E. 9.1</w:t>
      </w:r>
    </w:p>
    <w:p>
      <w:r>
        <w:t>Ausgangsgemäss sind im vorliegenden Fall keine Verfahrenskosten zu erheben.</w:t>
      </w:r>
    </w:p>
    <w:p>
      <w:r>
        <w:rPr>
          <w:b/>
        </w:rPr>
        <w:t>E. 9.2</w:t>
      </w:r>
    </w:p>
    <w:p>
      <w:r>
        <w:t>Der obsiegenden Beschwerdeführerin wird eine Parteientschädigung von Fr. 2'000.-- zulasten der Vorinstanz zugesprochen (Art. 64 Abs. 1 VwVG).</w:t>
      </w:r>
    </w:p>
    <w:p>
      <w:r>
        <w:rPr>
          <w:b/>
        </w:rPr>
        <w:t>E. 9.3</w:t>
      </w:r>
    </w:p>
    <w:p>
      <w:r>
        <w:t>Das Gesuch der Beschwerdeführerin um unentgeltliche Rechtspflege ist angesichts des Ausgangs des Verfahrens als gegenstandslos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