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C-622/2009 vom 27. September 2011</w:t>
      </w:r>
    </w:p>
    <w:p>
      <w:r>
        <w:t>Bundesverwaltungsgericht, 2011-09-27, DE</w:t>
      </w:r>
    </w:p>
    <w:p>
      <w:r>
        <w:rPr>
          <w:b/>
        </w:rPr>
        <w:t xml:space="preserve">Quelle: </w:t>
      </w:r>
      <w:r>
        <w:t>https://mcp.opencaselaw.ch/entscheid/bvger_C-622_2009</w:t>
      </w:r>
    </w:p>
    <w:p>
      <w:r>
        <w:t>FR: TAF C-622/2009 du 27 septembre 2011</w:t>
      </w:r>
    </w:p>
    <w:p>
      <w:r>
        <w:t>IT: TAF C-622/2009 del 27 settembre 2011</w:t>
      </w:r>
    </w:p>
    <w:p>
      <w:pPr>
        <w:pStyle w:val="Heading2"/>
      </w:pPr>
      <w:r>
        <w:t>Regeste</w:t>
      </w:r>
    </w:p>
    <w:p>
      <w:r>
        <w:t>Schlussabrechnung</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E.2).</w:t>
      </w:r>
    </w:p>
    <w:p>
      <w:r>
        <w:rPr>
          <w:b/>
        </w:rPr>
        <w:t>E. 3</w:t>
      </w:r>
    </w:p>
    <w:p>
      <w:r>
        <w:t>Der Beschwerdeführer bestreitet die Legitimation der Vorinstanz, von seinem Sicherheitskonto unter dem Titel der Sonderabgabepflicht einen Betrag von Fr. 15'000.- zu vereinnahmen. Die von ihm effektiv verursachten Sozialhilfekosten seien mit Fr. 6'960.- ausgewiesen.</w:t>
      </w:r>
    </w:p>
    <w:p>
      <w:r>
        <w:rPr>
          <w:b/>
        </w:rPr>
        <w:t>E. 4.1</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w:t>
      </w:r>
    </w:p>
    <w:p>
      <w:r>
        <w:rPr>
          <w:b/>
        </w:rPr>
        <w:t>E. 4.2</w:t>
      </w:r>
    </w:p>
    <w:p>
      <w:r>
        <w:t>Das SiRück-System wurde mit dem dringlichen Bundesbeschluss über das Asylverfahren vom 22. Juni 1990 (AS 1990 938) für Personen des Asylrechts und mit dem Bundesbeschluss über Sparmassnahmen im Asyl- und Ausländerbereich vom 16. Dezember 1994 (AS 1994 2874) für vorläufig Aufgenommene auf Gesetzesebene eingeführt. Seine Grund­sätze - soweit für die vorliegende Streitsache von Bedeutung - stellten sich per 31. Dezember 2007 wie folgt dar:</w:t>
      </w:r>
    </w:p>
    <w:p>
      <w:r>
        <w:rPr>
          <w:b/>
        </w:rPr>
        <w:t>E. 4.3</w:t>
      </w:r>
    </w:p>
    <w:p>
      <w:r>
        <w:t>Der 2. Abschnitt des 5. Kapitels des Asylgesetzes in seiner Fassung vom 26. Juni 1998, die bis 31. Dezember 2007 in Geltung stand (AS 1999 2262), regelt die Rückerstattungs- und Sicherheitsleistungspflicht von Personen, die sich gestützt auf das Asylgesetz in der Schweiz aufhalten. Gemäss Art. 85 Abs. 1 AsylG (in der Fassung vom 26. Juni 1998) haben sie - soweit zumutbar - die Kosten der Fürsorge, der Ausreise und des Vollzugs sowie die Kosten des Rechtsmittelverfahrens zurückzuerstatten. Asylsuchende und Schutzbedürftige ohne Aufenthaltsbewilligung sind gemäss Art. 86 AsylG (in der Fassung vom 26. Juni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(in der Fassung vom 26. Juni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Asylverordnung 2 vom 11. August 1999 über Finanzierungsfragen in ihrer ursprünglichen, bis 31. Dezember 2007 geltenden Fassung (AsylV 2, SR 142.312; AS 1999 2318)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in der Fassung vom 11. August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Januar 2008 aufgehobenen Art. 22 und 23 der Verordnung vom 11. August 1999 über den Vollzug der Weg- und Ausweisung von ausländischen Personen [VVWA, SR 142.281] in der Fassung vom 11. August 1999 [AS 1999 2254]).</w:t>
      </w:r>
    </w:p>
    <w:p>
      <w:r>
        <w:rPr>
          <w:b/>
        </w:rPr>
        <w:t>E. 4.4</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Ne­ben die Sonderabgabepflicht tritt die Vermögenswertabnahme, die im Wesentlichen unter denselben Voraussetzungen erhoben werden kann, wie im alten Recht. Allerdings wird auch hier keine Verrechnung mit individuell verrechenbaren Kosten vorgenommen. Stattdessen ergeht an den Bundesrat die Ermächtigung festzusetzen, in welchem Umfang die ab­genommenen Vermögenswerte an die Sonderabgabe angerechnet wer­den (Art. 87 AsylG). Art. 88 AuG unterstellt vorläufig Aufgenommene der Sonderabgabepflicht und der Vermögenswertabnahme nach Art. 86 AsylG und 87 AsylG und erklärt die Bestimmungen des 2. Abschnitts des 5. Kapitels des Asylgesetzes für anwendbar.</w:t>
      </w:r>
    </w:p>
    <w:p>
      <w:r>
        <w:rPr>
          <w:b/>
        </w:rPr>
        <w:t>E. 4.5</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4.6</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4.7</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werden.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5.1</w:t>
      </w:r>
    </w:p>
    <w:p>
      <w:r>
        <w:t>Die vorliegende Streitsache beschlägt die Überführung des alten Sicherheitsleistungssystems mit individueller Abrechnung über zurechenbare Kosten in das neue System der Sonderabgabe. Der Beschwerdeführer äufnete noch unter der Geltung des alten Rechts sein Sicherheitskonto mit Lohnabzügen. Zu einer Schlussabrechnung des Sicherheitskontos des Beschwerdeführers kam es vor dem 1. Januar 2008 mangels Verwirklichung eines altrechtlichen Schlussabrechnungsgrundes indes nicht. Die Vorinstanz sah den Beschwerdeführer deshalb gemäss Art. 1 der Übergangsbestimmungen zur Änderung des AsylG dem neuen Recht unterstellt und löste sein Sicherheitskonto in Anwendung von Art. 10 AsylV 2 in Verbindung mit Abs. 6 bis 8 ihrer Übergangsbestimmungen auf. Zu diesem Zweck erliess sie die angefochtene Verfügung. Darin wurden vom fraglichen Sicherheitskonto, welches einen Stand von Fr. 29'214.85 aufwies, noch Fr. 13'390.- zu Gunsten des Bundes eingezogen. In Bezug auf das Restguthaben ordnete die Vorinstanz mit Verfügung vom 19. Oktober 2009 die Auszahlung an den Beschwerdeführer an. Der vereinnahmte Betrag von Fr. 13'390.- versteht sich dabei als Differenz zwischen dem Maximalbetrag der Sonderabgabe von Fr. 15'000.- einerseits und dem im Rahmen der Zwischenabrechnung zwecks Kostendeckung bereits eingezogenen Betrag von Fr. 1'610.- andererseits.</w:t>
      </w:r>
    </w:p>
    <w:p>
      <w:r>
        <w:rPr>
          <w:b/>
        </w:rPr>
        <w:t>E. 5.2</w:t>
      </w:r>
    </w:p>
    <w:p>
      <w:r>
        <w:t>Zur Zulässigkeit der rechtssatzmässigen Ausgestaltung der Sonderabgabe, der entsprechenden Übergangsbestimmungen sowie der konkreten Handhabung einzelner Verordnungsbestimmungen hat sich das Bundesverwaltungsgericht in einem Grundsatzurteil geäussert (Urteil C-7179/2008 vom 21. Dezember 2010 E. 3 und 6). Die Vorgehensweise der Vorinstanz im Falle des Beschwerdeführers ist auch sonst nicht zu beanstanden. Sein Sicherheitskonto hatte Ende 2007 Bestand und ein altrechtlicher Schlussabrechnungsgrund wurde vor dem 1. Januar 2008 nicht verwirklicht. Das neue Recht kam deshalb zu Recht zur Anwendung und es liegt - wie aufgezeigt - in der Natur des Systems der Sonderabgabe, dass keine individuelle Abrechnung mehr stattfindet.</w:t>
      </w:r>
    </w:p>
    <w:p>
      <w:r>
        <w:rPr>
          <w:b/>
        </w:rPr>
        <w:t>E. 6</w:t>
      </w:r>
    </w:p>
    <w:p>
      <w:r>
        <w:t>Aus vorstehenden Erwägungen folgt, dass die angefochtene Verfügung im Lichte von Art. 49 VwVG nicht zu beanstanden ist. Die Beschwerde ist deshalb abzuweisen.</w:t>
      </w:r>
    </w:p>
    <w:p>
      <w:r>
        <w:rPr>
          <w:b/>
        </w:rPr>
        <w:t>E. 7</w:t>
      </w:r>
    </w:p>
    <w:p>
      <w:r>
        <w:t>Dem Ausgang des Verfahrens entsprechend wird der Beschwerdeführer kostenpflichtig (Art. 63 Abs. 1 VwVG). Die Verfahrenskosten sind auf Fr. 700.- festzusetzen (Art. 1, Art. 2 und Art. 4 des Reglements vom 21. Februar 2008 über die Kosten und Entschädigungen vor dem Bundesverwaltungsgericht [VGKE, SR 173.320.2]).</w:t>
      </w:r>
    </w:p>
    <w:p>
      <w:r>
        <w:rPr>
          <w:b/>
        </w:rPr>
        <w:t>E. 8</w:t>
      </w:r>
    </w:p>
    <w:p>
      <w:r>
        <w:t>Das vorliegende Urteil ist endgültig (Art. 83 Bst. c Ziff. 3 und Bst. d Ziff. 1 des Bundesgerichtsgesetzes vom 17. Juni 2005 [BGG, SR 173.110]).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