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C-6226/2010 vom 12. März 2013</w:t>
      </w:r>
    </w:p>
    <w:p>
      <w:r>
        <w:t>Bundesverwaltungsgericht, 2013-03-12, DE</w:t>
      </w:r>
    </w:p>
    <w:p>
      <w:r>
        <w:rPr>
          <w:b/>
        </w:rPr>
        <w:t xml:space="preserve">Quelle: </w:t>
      </w:r>
      <w:r>
        <w:t>https://mcp.opencaselaw.ch/entscheid/bvger_C-6226_2010</w:t>
      </w:r>
    </w:p>
    <w:p>
      <w:r>
        <w:t>FR: TAF C-6226/2010 du 12 mars 2013</w:t>
      </w:r>
    </w:p>
    <w:p>
      <w:r>
        <w:t>IT: TAF C-6226/2010 del 12 marzo 2013</w:t>
      </w:r>
    </w:p>
    <w:p>
      <w:pPr>
        <w:pStyle w:val="Heading2"/>
      </w:pPr>
      <w:r>
        <w:t>Regeste</w:t>
      </w:r>
    </w:p>
    <w:p>
      <w:r>
        <w:t>Rente</w:t>
      </w:r>
    </w:p>
    <w:p>
      <w:pPr>
        <w:pStyle w:val="Heading2"/>
      </w:pPr>
      <w:r>
        <w:t>Erwägungen</w:t>
      </w:r>
    </w:p>
    <w:p>
      <w:r>
        <w:rPr>
          <w:b/>
        </w:rPr>
        <w:t>E. 1</w:t>
      </w:r>
    </w:p>
    <w:p>
      <w:r>
        <w:t>Angefochten ist der Einspracheentscheid der Vorinstanz vom 2. August 2010, mit welchem die Verfügung vom 3. Februar 2010 betreffend Nichtberücksichtigung des Beitragsjahres 2005 bestätigt wurde.</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Der Beschwerdeführer ist Staatsangehöriger eines Mitgliedsstaates der Europäischen Gemeinschaft, sodass vorliegend das am 1. Juni 2002 in Kraft getretene Abkommen vom 21. Juni 1999 zwischen der Schweizerischen Eidgenossenschaft einerseits und der Europäischen Gemeinschaft und ihren Mitgliedstaaten andererseits über die Freizügigkeit (Freizügigkeitsabkommen; FZA; SR 0.142.112.681)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beziehungsweise abkommensrechtlichen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[BGer] H 13/05 vom 4. April 2005 E. 1.1). Daraus folgt, dass die Verwaltung und im Beschwerdefall das Gericht den Leistungsanspruch des Beschwerdeführers gemäss Art. 3 Abs. 1 der Koordinierungsverordnung (EWG) Nr. 1408/71 (SR 0.831.109.268.1) grundsätzlich nach den für schweizerische Staatsangehörige geltenden Regeln zu beurteilen haben. Demnach bestimmt sich vorliegend der Anspruch des Beschwerdeführers auf eine Rente der Alters- und Hinterlassenenversicherung nach dem internen schweizerischen Recht. Die neuen, ab dem 1. April 2012 in den Beziehungen zwischen der Schweiz und den EU-Mitgliedstaaten geltenden EU-Verordnungen Nr. 883/2004 und 987/2009, welche die Verordnungen Nr. 1408/71 und 574/72 ersetzen, und der - seit demselben Datum in Kraft stehende - revidierte Anhang II zum FZA sind vorliegend noch nicht anwendbar.</w:t>
      </w:r>
    </w:p>
    <w:p>
      <w:r>
        <w:rPr>
          <w:b/>
        </w:rPr>
        <w:t>E. 2.2</w:t>
      </w:r>
    </w:p>
    <w:p>
      <w:r>
        <w:t>Nach der Rechtsprechung stellt das Sozialversicherungsgericht bei der Beurteilung einer Streitsache in der Regel auf den bis zum Zeitpunkt des Erlasses der streitigen Verwaltungsverfügung (hier: Verfügung vom 2. August 2010) eingetretenen Sachverhalt ab (BGE 129 V 1 E. 1.2 mit Hinweis). Weiter sind in zeitlicher Hinsicht grundsätzlich diejenigen Rechtssätze massgebend, die bei der Erfüllung des zu Rechtsfolgen führenden Tatbestandes Geltung hatten (BGE 130 V 329).</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strittig und vom Bundesverwaltungsgericht zu prüfen, ob die SAK die Rente des Beschwerdeführers korrekt ermittelt hat.</w:t>
      </w:r>
    </w:p>
    <w:p>
      <w:r>
        <w:rPr>
          <w:b/>
        </w:rPr>
        <w:t>E. 3.1.1</w:t>
      </w:r>
    </w:p>
    <w:p>
      <w:r>
        <w:t>Die ordentlichen Renten der AHV und IV gelangen als Vollrenten oder Teilrenten zur Ausrichtung, wobei Anspruch auf die volle Rente besteht, wenn die Beitragsdauer vollständig ist (Art. 29 Abs. 2 AHVG). Die Beitragsdauer ist vollständig, wenn eine Person gleich viele Beitragsjahre aufweist wie ihr Jahrgang (Art. 29ter Abs. 1 AHVG). Als Beitragsjahre gelten gemäss Abs. 2 Zeiten, in welchen eine Person Beiträge geleistet hat (Bst. a), in welchen der Ehegatte gemäss Art. 3 Abs. 3 mindestens den doppelten Mindestbeitrag entrichtet hat (Bst. b) und für die Erziehungs- oder Betreuungsgutschriften angerechnet werden können (Bst. c). Ein volles Beitragsjahr liegt gemäss Art. 50 Abs. 1 der AHVV vor, wenn eine Person insgesamt länger als elf Monate im Sinne von Art. 1a oder 2 AHVG versichert war und während dieser Zeit den Mindestbeitrag bezahlt hat oder Beitragszeiten im Sinne von Art. 29ter Abs. 2 Bst. b und c AHVG aufweist. Bei unvollständiger Beitragsdauer besteht Anspruch auf eine Teilrente, entsprechend dem gerundeten Verhältnis zwischen den vollen Beitragsjahren der versicherten Person und denjenigen ihres Jahrganges (Art. 38 Abs. 2 AHVG; BGE 121 V 71 E. 1 S. 74).</w:t>
      </w:r>
    </w:p>
    <w:p>
      <w:r>
        <w:rPr>
          <w:b/>
        </w:rPr>
        <w:t>E. 3.1.2</w:t>
      </w:r>
    </w:p>
    <w:p>
      <w:r>
        <w:t>Für die Rentenberechnung werden Beitragsjahre, Erwerbseinkommen sowie Erziehungs- oder Betreuungsgutschriften der rentenberechtigten Person zwischen dem 1. Januar nach Vollendung des 20. Altersjahres und dem 31. Dezember vor Eintritt des Versicherungsfalles berücksichtigt (Art. 29bis Abs. 1 AHVG). Innerhalb der anwendbaren Rentenskala (Art. 52 AHVV) bestimmt sich der Rentenbetrag nach dem durchschnittlichen Jahreseinkommen. Dieses setzt sich zusammen aus den Erwerbseinkommen, den Erziehungsgutschriften und den Betreuungsgutschriften (Art. 29quater AHVG). Weil die Beiträge während einer langen Beitragskarriere zum Nominalbetrag bezahlt worden sind, wird die Summe der Erwerbseinkommen entsprechend dem Rentenindex aufgewertet (Art. 30 Abs. 1 AHVG). Das durchschnittliche Jahreseinkommen wird alsdann ermittelt, indem die Summe der aufgewerteten Erwerbseinkommen sowie die Erziehungs- oder Betreuungsgutschriften durch die Anzahl der Beitragsjahre geteilt werden (Art. 30 Abs. 2 AHVG).</w:t>
      </w:r>
    </w:p>
    <w:p>
      <w:r>
        <w:rPr>
          <w:b/>
        </w:rPr>
        <w:t>E. 3.1.3</w:t>
      </w:r>
    </w:p>
    <w:p>
      <w:r>
        <w:t>Die Beitragsdauer einer versicherten Person bestimmt sich in der Regel nach ihrem individuellen Konto, in welches die für die Berechnung der ordentlichen Rente erforderlichen Angaben eingetragen werden (Art. 30ter Abs. 1 AHVG). Grundsätzlich dürfen im individuellen Konto nur Erwerbseinkommen eingetragen werden, von welchen dem Versicherten die gesetzlichen Beiträge abgezogen worden sind - unabhängig davon, ob der Arbeitgeber die entsprechenden Beiträge der Ausgleichskasse entrichtet hat (Art. 30ter Abs. 2 AHVG). Bei einwandfreiem Nachweis können auch Einkommen eingetragen werden, die ohne Lohnabzüge aufgrund einer Nettolohnvereinbarung ausgerichtet wurden (vgl. UELI KIESER, Alters- und Hinterlassenenversicherung, Rechtsprechung des Bundesgerichts zum Sozialversicherungsrecht, 2. Aufl., Zürich 2005, N. 3 zu Art. 30ter). Der seit dem 1. Januar 1969 in Kraft stehende, vorliegend anwendbare Art. 140 Abs. 1 Bst. d AHVV schreibt vor, dass das individuelle Konto das Beitragsjahr und die Beitragsdauer in Monaten umfassen muss.</w:t>
      </w:r>
    </w:p>
    <w:p>
      <w:r>
        <w:rPr>
          <w:b/>
        </w:rPr>
        <w:t>E. 3.1.4</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 Zu beachten ist allerdings auch der im Sozialversicherungsrecht anwendbare Untersuchungsgrundsatz, was zur Folge hat, dass die Verwaltung und im Beschwerdefall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(BGE 117 V 263 E. 3b mit Hinweisen).</w:t>
      </w:r>
    </w:p>
    <w:p>
      <w:r>
        <w:rPr>
          <w:b/>
        </w:rPr>
        <w:t>E. 3.2</w:t>
      </w:r>
    </w:p>
    <w:p>
      <w:r>
        <w:t>Nachfolgend ist für das Jahr 2005 der strittige Eintrag im IK zu prüfen, welcher von der zuständigen AK des Kantons St. Gallen nachträglich korrigiert wurde und auf den sich die Vorinstanz bei der Rentenberechnung gestützt hat. Konkret fragt sich, ob dem Beschwerdeführer Lohn oder Taggelder ausgerichtet wurden.</w:t>
      </w:r>
    </w:p>
    <w:p>
      <w:r>
        <w:rPr>
          <w:b/>
        </w:rPr>
        <w:t>E. 3.2.1</w:t>
      </w:r>
    </w:p>
    <w:p>
      <w:r>
        <w:t>Aus dem aktenkundigen Lohnausweis sowie dem Steuerausweis 2005 der A._______ AG in Buchs (ac. SAK 178 und 179) ist ersichtlich, dass der Beschwerdeführer im Jahre 2005 von seiner Arbeitgeberin insgesamt Fr. 51'416.- Lohn erhalten hat und davon AHV-Beiträge abgezogen wurden. Diese Angaben stimmen mit dem IK-Auszug vom 24. Juli 2007 (act. SAK 90) überein. Den vom Beschwerdeführer ins Recht gelegten Bankbelegen (act. BVGer 8 Beilage 2-13) lässt sich entnehmen, dass sich dieser Jahreslohn aus regelmässigen monatlichen Lohnzahlungen der Arbeitgeberin an den Beschwerdeführer zusammensetzt.</w:t>
      </w:r>
    </w:p>
    <w:p>
      <w:r>
        <w:rPr>
          <w:b/>
        </w:rPr>
        <w:t>E. 3.2.2</w:t>
      </w:r>
    </w:p>
    <w:p>
      <w:r>
        <w:t>Im Schreiben vom 11. Juli 2006 (act. SAK 194) bestätigt die Arbeitgeberin der SVA St. Gallen, dem Beschwerdeführer in der Zeit vom 1. März bis 31. August 2005 aufgrund der Taggeldabrechnung der Winterthur Versicherung den vollen Lohn ausbezahlt zu haben. Aus dieser Taggeldabrechnung vom 3. Februar 2006 (act. SAK 193) geht hervor, dass die Winterthur Versicherung der Arbeitgeberin aufgrund der bestehenden kollektiven Krankenversicherung für die infolge Krankheit bedingte volle Arbeitsunfähigkeit des Beschwerdeführers Taggelder im Betrag von Fr. 27'262.- auf ihr Bankkonto überwiesen hat.</w:t>
      </w:r>
    </w:p>
    <w:p>
      <w:r>
        <w:rPr>
          <w:b/>
        </w:rPr>
        <w:t>E. 3.2.3</w:t>
      </w:r>
    </w:p>
    <w:p>
      <w:r>
        <w:t>Somit steht fest, dass die Arbeitgeberin selber die Krankentaggelder von der Versicherung ausbezahlt erhalten, aber dafür dem Beschwerdeführer den vertragsgemässen Lohn ausbezahlt hat. Dabei handelt es sich, wie aus der besagten Taggeldabrechnung der Winterthur Versicherung deutlich hervorgeht, um eine Lohnfortzahlung der Arbeitgeberin des Beschwerdeführers gemäss Art. 324a des Bundesgesetzes betreffend die Ergänzung des Schweizerischen Zivilgesetzbuches (Obligationenrecht, OR, SR 220), wofür sie eine Krankentaggeldversicherung abgeschlossen hatte. Bei dieser Konstellation ist die Zahlung der Arbeitgeberin von Fr. 27'262.- an den Beschwerdeführer (gemäss Eintrag im individuellen Konto) nach dem Urteil des Bundesgerichts 9C_95/2009 vom 7. September 2009 (E. 4.1.2, unter Hinweis auf BGE 128 V 176 E. 2 und 3) als massgebenden beitragspflichtigen Lohn im Sinne von Art. 7 Bst. m AHVV und nicht wie von der Vorinstanz angenommen als beitragsfreie Versicherungsleistung gemäss Art. 6 Abs. 2 Bst. b AHHV zu qualifizieren. Für die übrigen Monate des Jahres 2005 ist mangels Gegenbeweis der Vorinstanz ebenfalls davon auszugehen, dass dem Beschwerdeführer beitragspflichtiger Lohn im Umfang von Fr. 24'153.- (gemäss Eintrag im individuellen Konto) ausbezahlt wurde. Somit erfolgte im Jahr von 2005 die Stornierung des Einkommens von Fr. 51'415.- im individuellen Konto des Beschwerdeführers zu Unrecht. Demzufolge hätten für die Rentenberechnung entgegen der Vorinstanz dieses Einkommen und die 12 Beitragsmonate berücksichtigt werden müssen.</w:t>
      </w:r>
    </w:p>
    <w:p>
      <w:r>
        <w:rPr>
          <w:b/>
        </w:rPr>
        <w:t>E. 4.1</w:t>
      </w:r>
    </w:p>
    <w:p>
      <w:r>
        <w:t>Dementsprechend ist die Rentenberechnung der Vorinstanz per 1. Februar 2008 zu korrigieren, was nachfolgend ohne Rückweisung an dieselbe erfolgen kann, zumal alle übrigen Parameter unverändert bleiben und auch nicht bestritten sind.</w:t>
      </w:r>
    </w:p>
    <w:p>
      <w:r>
        <w:rPr>
          <w:b/>
        </w:rPr>
        <w:t>E. 4.1.1</w:t>
      </w:r>
    </w:p>
    <w:p>
      <w:r>
        <w:t>Das während der Beitragszeit anzurechnende Einkommen beträgt somit unter Hinzurechnung des stornierten Einkommens von Fr. 51'415.- insgesamt Fr. 559'548.- (Total anzurechnende Einkommen gemäss Zusammenstellung vom 3. Februar 2010 [act. SAK 161] von Fr. 508'133.- nach Stornoabzug zuzüglich dem stornierten Betrag von Fr. Fr. 51'415.- ergibt Fr. 559'548.-). Dieses Gesamteinkommen ist zwecks Ausgleichung der Inflation entsprechend dem Rentenindex gemäss Art. 33ter AHVG aufzuwerten. Der Aufwertungsfaktor beträgt vorliegend wie von der Vorinstanz ermittelt (act. SAK 159) 1.378 (Aufwertungsfaktoren 2008, erster Eintrag in den individuellen Konten im Jahr 1964), so dass sich das aufgewertete Gesamteinkommen auf Fr. 771'057.- beläuft. Geteilt durch die Anzahl der festgestellten Beitragsmonate von 159 Monaten (Total 147 Beitragsmonate gemäss Zusammenstellung vom 3. Februar 2010 [act. SAK 159] zuzüglich 12 Monate, ergibt 159 Monate) und multipliziert mit 12 ergibt dies ein durchschnittliches Jahreseinkommen von Fr. 58'193.-. Dem Beschwerdeführer sind 2,5 Erziehungsgutschriften anzurechnen (Zusammenstellung vom 3. Februar 2010 [act. SAK 159]). Eine ganze Erziehungsgutschrift beträgt im Jahr 2008 Fr. 39'780.- (dreifache jährliche minimale Altersrente). Der Beschwerdeführer hat somit Anspruch auf eine durchschnittliche Erziehungsgutschrift in der Höhe von Fr. 7'506.- (2,5 Jahre à Fr. 39'780.-, geteilt durch die Beitragsdauer von 13,25 Beitragsjahren) wie von der Vorinstanz korrekt ermittelt (vgl. Zusammenstellung vom 27. August 2008 [act. SAK 128]). Dies ergibt ein durchschnittliches Jahreseinkommen von Fr. 65'699.-. Dieser Betrag ist auf den nächsthöheren Tabellenwert des massgebenden durchschnittlichen Jahreseinkommens aufzurunden. Gemäss den im Jahr 2008 anzuwendenden Rententabellen 2007 (Skala 13, S. 81) ergibt ein massgebendes Einkommen von bis zu Fr. 66'300.- eine monatliche Rente von Fr. 601.-.</w:t>
      </w:r>
    </w:p>
    <w:p>
      <w:r>
        <w:rPr>
          <w:b/>
        </w:rPr>
        <w:t>E. 4.2</w:t>
      </w:r>
    </w:p>
    <w:p>
      <w:r>
        <w:t>Zusammenfassend erweisen sich die vorgebrachten Rügen als gerechtfertigt. Die Beschwerde ist gutzuheissen, der Einspracheentscheid vom 2. August 2010 und die Verfügung vom 3. Februar 2010 sind aufzuheben. Der Beschwerdeführer hat Anspruch mit Wirkung ab 1. Februar 2008 auf eine monatliche ordentliche Altersrente von Fr. 601.- .</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Da dem obsiegenden Beschwerdeführer, welcher nicht vertreten war, keine unverhältnismässig hohen Kosten entstanden sind und dieser zu Recht keinen entsprechenden Antrag gestellt hat, ist ihm keine Parteientschädigung zuzusprechen (vgl. Art. 64 Abs. 1 VwVG und Art. 7 ff. des Reglements vom 21. Februar 2008 über die Kosten und Entschädigungen vor dem Bundesverwaltungsgericht [VGKE, SR 173.320.2]). Die unterliegende SAK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