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C-6221/2013 vom 23. September 2014</w:t>
      </w:r>
    </w:p>
    <w:p>
      <w:r>
        <w:t>Bundesverwaltungsgericht, 2014-09-23, FR</w:t>
      </w:r>
    </w:p>
    <w:p>
      <w:r>
        <w:rPr>
          <w:b/>
        </w:rPr>
        <w:t xml:space="preserve">Quelle: </w:t>
      </w:r>
      <w:r>
        <w:t>https://mcp.opencaselaw.ch/entscheid/bvger_C-6221_2013</w:t>
      </w:r>
    </w:p>
    <w:p>
      <w:r>
        <w:t>FR: TAF C-6221/2013 du 23 septembre 2014</w:t>
      </w:r>
    </w:p>
    <w:p>
      <w:r>
        <w:t>IT: TAF C-6221/2013 del 23 settembre 2014</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 let. c ch. 2 LTF;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2013/33 consid. 2).</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à l'ODM (cf. art. 14 al. 3 LAsi).</w:t>
      </w:r>
    </w:p>
    <w:p>
      <w:r>
        <w:rPr>
          <w:b/>
        </w:rPr>
        <w:t>E. 3.2</w:t>
      </w:r>
    </w:p>
    <w:p>
      <w:r>
        <w:t>L'art. 14 LAsi réglemente la relation entre la procédure d'asile et celle relevant du droit des étrangers (au sens strict). Cette disposition énonce, à l'alinéa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w:t>
      </w:r>
    </w:p>
    <w:p>
      <w:r>
        <w:rPr>
          <w:b/>
        </w:rPr>
        <w:t>E. 3.3</w:t>
      </w:r>
    </w:p>
    <w:p>
      <w:r>
        <w:t>Contrairement aux autres procédures de droit des étrangers, la personne concernée ne se voit reconnaître la qualité de partie qu'au stade de la procédure d'approbation, conformément au principe d'exclusivité de la procédure d'asile énoncé à l'art. 14 al. 1 LAsi (cf. art. 14 al. 4 LAsi). En d'autres termes, le droit fédéral ne ménage pas la possibilité pour les autorités cantonales de concéder des droits de partie aux personnes ayant de leur propre initiative invoqué le bénéfice de l'art. 14 al. 2 LAsi (cf. notamment arrêts du Tribunal fédéral 2D_41/2010 du 15 décembre 2010 consid. 3.1.2, 2D_25/2010 du 14 mai 2010 consid. 2.2 et 2C_853/2008 du 28 janvier 2009 consid. 3.1, ainsi que les références citées, voir également l'ATAF 2009/40 consid. 3.4 et les références citées). Il résulte de ce qui précède qu'en dépit d'une terminologie similaire, la procédure d'approbation mentionnée à l'art. 14 al. 2 LAsi revêt une nature spéciale par rapport à la procédure d'approbation figurant dans la LEtr. Elle ne porte en l'occurrence que sur l'autorisation pour le canton de procéder dans le cadre de cette disposition (sur la nature de cette procédure, cf. ATF 137 I 128 consid. 3.1.2 et la jurisprudence citée). Dans la mesure où l'approbation fédérale est expressément réservée par l'art. 14 al. 2 LAsi, ni le Tribunal, ni l'ODM ne sont liés par la prise de position favorable de l'OCP concernant la délivrance d'une telle autorisation au recourant et peuvent donc parfaitement s'écarter de l'appréciation faite par l'autorité cantonale précitée sur ce point (cf. notamment arrêts du Tribunal administratif fédéral C 2868/2010 du 29 novembre 2010 consid. 3.3 et C 5251/2009 du 16 avril 2010 consid. 5.2).</w:t>
      </w:r>
    </w:p>
    <w:p>
      <w:r>
        <w:rPr>
          <w:b/>
        </w:rPr>
        <w:t>E. 4</w:t>
      </w:r>
    </w:p>
    <w:p>
      <w:r>
        <w:t>En l'espèce, l'examen des pièces du dossier révèle que A._______ réside en Suisse depuis le 5 février 2003, date du dépôt de sa demande d'asile et qu'il remplit donc les conditions temporelles posées à l'application de l'art. 14 al. 2 let. a LAsi. Par ailleurs, le canton de Genève est habilité à octroyer à l'intéressé une autorisation de séjour sur son territoire, compte tenu de son attribution à ce canton en application de la loi sur l'asile (cf. art. 14 al. 2 phr. 1 LAsi). Le lieu de séjour du recourant a toujours été connu des autorités, si bien que celui-ci remplit également la condition posée à l'art. 14 al. 2 let. b LAsi. En outre, le dossier du prénommé a été transmis à l'ODM pour approbation sur proposition de l'OCP du 19 novembre 2012, conformément à l'art. 14 al. 3 LAsi. Il reste donc à examiner si la situation de l'intéressé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Tribunal administratif fédéral C-673/2011 du 25 juillet 2012 consid 3.2 et C-4884/2009 du 3 mai 2011 consid. 3.2).</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consid. 6.1 et 2007/45 consid. 4.2; voir également l'ATF 130 II 39 consid. 3).</w:t>
      </w:r>
    </w:p>
    <w:p>
      <w:r>
        <w:rPr>
          <w:b/>
        </w:rPr>
        <w:t>E. 5.4</w:t>
      </w:r>
    </w:p>
    <w:p>
      <w:r>
        <w:t>Conformément à la pratique et à la jurisprudence constantes en la matière, développées initialement en relation avec l'art. 13 let. f OLE, la reconnaissance d'un cas de rigueur grave au sens de l'art. 14 al. 2 LAsi suppose que l'étranger concerné se trouve dans une situation de détresse personnelle. Cela signifie que ces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personnes faisant ou ayant fait l'objet d'une procédure d'asile, cf. ATF 124 II 110 consid. 3 et ATF 123 II 125 consid. 3). La reconnaissance d'un cas individuel d'extrême gravité n'implique pas forcément que la présence de l'étranger en Suisse soit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d'extrême gravité ; encore faut-il que la relation de l'intéressé avec la Suisse soit si étroite qu'on ne puisse exiger de lui qu'il aille vivre dans un autre pays, notamment dans son pays d'origine (cf. ATAF 2009/40 consid. 6.2 et l'arrêt du Tribunal administratif fédéral C 636/2010 du 14 décembre 2010 [partiellement publié in : ATAF 2010/55] consid. 5.2 et 5.3, et la jurisprudence et doctrine citées). Il ressort de ce qui précède que les critères de reconnaissance du cas de rigueur développés par la pratique et la jurisprudence - qui sont aujourd'hui repris à l'art. 31 al. 1 OASA - ne constituent pas un catalogue exhaustif, pas plus qu'ils ne doivent être réalisés cumulativement (cf. ATAF 2009/40 ibid.).</w:t>
      </w:r>
    </w:p>
    <w:p>
      <w:r>
        <w:rPr>
          <w:b/>
        </w:rPr>
        <w:t>E. 5.5</w:t>
      </w:r>
    </w:p>
    <w:p>
      <w:r>
        <w:t>Aussi, il convient d'examiner si l'existence d'un cas de rigueur grave doit être admise in casu à la lumière des critères d'évaluation pertinents en la matière, en particulier au regard de la durée de séjour du recourant en Suisse, de son intégration (au plan professionnel et social), de sa situation familiale, de sa situation financière, de sa volonté de prendre part à la vie économique et d'acquérir une formation, de son état de santé et de ses possibilités de réintégration dans son pays d'origine (cf. art. 31 al. 1 OASA).</w:t>
      </w:r>
    </w:p>
    <w:p>
      <w:r>
        <w:rPr>
          <w:b/>
        </w:rPr>
        <w:t>E. 6</w:t>
      </w:r>
    </w:p>
    <w:p>
      <w:r>
        <w:t>A l'appui de son pourvoi, A._______ a mis en exergue la durée de son séjour en Suisse, son intégration socioprofessionnelle réussie, ainsi que les difficultés qu'il rencontrerait en cas de retour dans son pays d'origine.</w:t>
      </w:r>
    </w:p>
    <w:p>
      <w:r>
        <w:rPr>
          <w:b/>
        </w:rPr>
        <w:t>E. 6.1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l'arrêt Tribunal administratif fédéral C-673/2011 consid. 6.1 et jurisprudence citée). Dans ces conditions, le recourant ne saurait tirer parti de la seule durée de sa présence en Suisse pour y bénéficier d'une autorisation de séjour en application de l'art. 14 al. 2 LAsi. Ceci vaut à plus forte raison dans le cas particulier, dès lors que, depuis le 21 octobre 2008, le recourant se trouve sous le coup d'une décision de refus d'asile et de renvoi exécutoire et séjourne en Suisse à la faveur d'une simple tolérance cantonale, laquelle consiste en un statut à caractère provisoire et aléatoire (cf. ATAF 2007/45 consid. 6.3 et 2007/44 consid. 5.2; voir également l'arrêt du Tribunal administratif fédéral C-673/2011 ibid.). Encore faut-il que le refus d'admettre l'existence d'un cas de rigueur comporte pour l'intéressé de graves conséquences. Autrement dit, il est nécessaire, comme relevé plus haut, que ses conditions de vie et d'existence, comparées à celles applicables à la moyenne des étrangers, soient mises en cause de manière accrue (cf. consid 5.4 ci-avant).</w:t>
      </w:r>
    </w:p>
    <w:p>
      <w:r>
        <w:rPr>
          <w:b/>
        </w:rPr>
        <w:t>E. 6.2</w:t>
      </w:r>
    </w:p>
    <w:p>
      <w:r>
        <w:t>Parmi les arguments invoqués à l'appui de son recours, l'intéressé a accordé une importance particulière à son intégration professionnelle. A ce propos, le Tribunal constate qu'après avoir travaillé dans le domaine du nettoyage entre 2003 et 2007, A._______ a obtenu un premier emploi temporaire en qualité de vendangeur en 2008. De mai à juillet 2009 et de mai à juillet 2010, le prénommé a de nouveau travaillé en qualité de vendangeur, cette fois-ci auprès de D._______ à Genève. Depuis janvier 2010, l'intéressé travaille de manière continue pour cet employeur, lequel a confirmé à plusieurs reprises qu'il était entièrement satisfait de son travail et exprimé son intention de le mettre au bénéfice d'un contrat à durée indéterminée, dès qu'il disposerait de l'autorisation nécessaire. Il a par ailleurs décrit l'intéressé comme "une personne très précise" ayant "une parfaite compréhension de la vigne et de sa physiologie", en ajoutant que c'était grâce à son travail ponctuel, indépendant et consciencieux que le domaine était en mesure d'atteindre ses objectifs (cf. le courrier de l'employeur du 25 février 2013). L'activité lucrative exercée par le recourant, dont le taux d'occupation varie selon la période de l'année, lui procure un salaire mensuel brut qui se situe entre 1600 et 3'200 francs. Il apparaît ainsi effectivement que le recourant a démontré sa volonté de s'intégrer dans la vie économique suisse et qu'il bénéficie d'une situation professionnelle stable auprès d'un employeur qui est entièrement satisfait de son travail et souhaiterait pouvoir l'engager à long terme. Partant, au regard du statut précaire et des qualifications professionnelles dont dispose l'intéressé, son intégration dans le marché du travail helvétique peut être qualifiée de réussie. Cela étant, le Tribunal estime qu'elle ne revêt pas un caractère exceptionnel comparée à celle de la moyenne des étrangers présents en Suisse depuis de nombreuses années ainsi que l'exige l'art. 14 al. 2 LAsi. A ce propos, le Tribunal ne saurait faire abstraction du fait que depuis janvier 2009, le recourant a été socialement assisté totalement du 1er janvier au 31 mai 2009, du 1er septembre 2009 au 31 mai 2010 et du 1er septembre 2010 au 31 janvier 2011, puis partiellement du 1er septembre au 31 octobre 2011 et qu'il n'est ainsi financièrement autonome que depuis le premier novembre 2011, soit plus de huit ans après son arrivée en Suisse. L'allégation du recourant selon laquelle son intégration professionnelle devait être appréciée en tenant compte de sa situation personnelle et de son niveau de formation, en ce sens qu'il convenait d'adapter les exigences relatives à l'intégration professionnelle au "bagage intellectuel" de la personne concernée ne saurait modifier l'appréciation du Tribunal, dès lors que de nombreux étrangers qui séjournent et travaillent en Suisse sont confrontés aux mêmes difficultés que l'intéressé sur le marche du travail helvétique en raison de leur statut précaire et du fait qu'ils ne bénéficient pas d'une formation professionnelle spécialisée reconnue en Suisse. Par conséquent, sans vouloir minimiser les qualités dont le recourant a fait preuve dans sa vie professionnelle, le Tribunal estime que l'intégration du recourant ne saurait être qualifiée d'exceptionnelle et l'on ne saurait notamment pas retenir que les attaches professionnelles qu'il s'est créées avec la Suisse soient à ce point profondes qu'il ne puisse plus raisonnablement envisager un retour dans son pays.</w:t>
      </w:r>
    </w:p>
    <w:p>
      <w:r>
        <w:rPr>
          <w:b/>
        </w:rPr>
        <w:t>E. 6.3</w:t>
      </w:r>
    </w:p>
    <w:p>
      <w:r>
        <w:t>Le Tribunal constate par ailleurs que le dossier ne contient aucun élément indiquant que, durant son séjour en Suisse, le recourant aurait fait preuve d'une intégration socioculturelle remarquable. Son implication dans les activités de l'association C._______ démontre certes un certain effort d'intégration au sein de la communauté, mais elle ne suffit pas à considérer qu'il ait fait preuve d'une intégration particulièrement marquée au niveau social et culturel.</w:t>
      </w:r>
    </w:p>
    <w:p>
      <w:r>
        <w:rPr>
          <w:b/>
        </w:rPr>
        <w:t>E. 6.4</w:t>
      </w:r>
    </w:p>
    <w:p>
      <w:r>
        <w:t>Au vu des considérations qui précèdent et sans vouloir remettre en cause les efforts louables d'intégration accomplis par le prénommé qui a démontré sa volonté de s'intégrer dans la vie économique suisse et qui a par ailleurs respecté l'ordre juridique suisse, le Tribunal estime que l'intégration du recourant ne revêt pas un caractère à ce point exceptionnel qu'elle justifierait l'octroi d'une autorisation de séjour fondée sur l'art. 14 al. 2 LAsi en sa faveur.</w:t>
      </w:r>
    </w:p>
    <w:p>
      <w:r>
        <w:rPr>
          <w:b/>
        </w:rPr>
        <w:t>E. 6.5</w:t>
      </w:r>
    </w:p>
    <w:p>
      <w:r>
        <w:t>Dans son mémoire de recours du 4 novembre 2013, le prénommé a également souligné les problèmes de réintégration auxquels il serait confronté en cas de retour en Turquie en raison de ses antécédents politiques.</w:t>
      </w:r>
    </w:p>
    <w:p>
      <w:r>
        <w:rPr>
          <w:b/>
        </w:rPr>
        <w:t>E. 6.5.1</w:t>
      </w:r>
    </w:p>
    <w:p>
      <w:r>
        <w:t>A ce propos, il sied de rappeler que l'objet de la contestation est circonscrit par le dispositif de la décision querellée à la seule question de l'octroi d'un permis humanitaire et ne porte pas sur la question du renvoi et de l'exécution de cette mesure. Or, la délivrance d'une autorisation de séjour pour cas de rigueur ne tend pas à protéger l'étranger contre les conséquences de la guerre, contre des abus des autorités étatiques ou contre des actes de persécution dirigés contre lui, des considérations de cet ordre relevant en effet de la procédure d'asile ou de l'examen de l'exigibilité (respectivement de la licéité) de l'exécution du renvoi (cf. ATAF 2007/45 consid. 7.5 et ATAF 2007/44 consid. 5.3 et la jurisprudence citée). En effet, ce sont essentiellement des considérations d'ordre humanitaire liées à l'ancrage de l'étranger en Suisse qui sont déterminantes pour la reconnaissance d'un cas de rigueur.</w:t>
      </w:r>
    </w:p>
    <w:p>
      <w:r>
        <w:rPr>
          <w:b/>
        </w:rPr>
        <w:t>E. 6.5.2</w:t>
      </w:r>
    </w:p>
    <w:p>
      <w:r>
        <w:t>Aussi, les arguments avancés par le recourant et plus particulièrement la question de savoir si l'intéressé encourait un risque de sérieux préjudices dans son pays en raison de son appartenance et de ses activités politiques ont déjà fait l'objet d'un examen circonstancié dans le cadre de la procédure d'asile. Or, dans son arrêt du 21 octobre 2008, le Tribunal de céans a jugé qu'il n'était pas possible d'admettre que le recourant avait été exposé à de sérieux préjudices au sens de l'art. 3 LAsi, ni qu'il avait rendu vraisemblable l'existence d'une crainte objectivement fondée de l'être en cas de retour dans son pays d'origine. Dans la motivation de son prononcé, le Tribunal a en particulier retenu que la question de savoir si les mesures d'intimidation dont le recourant avait prétendument fait l'objet étaient vraisemblables pouvait rester indécise, dès lors qu'il n'y avait "pas de motif suffisant permettant d'admettre que ces mesures d'intimidation revêtaient une intensité suffisante, correspondant aux réquisits de l'art. 3 LAsi, et surtout qu'elles débordaient le cadre strictement local et étaient susceptibles de se répéter à son encontre ailleurs en Turquie" (cf. l'arrêt du Tribunal administratif fédéral E-6787/2006 du 21 octobre 2008 consid. 4.1.2). Par surabondance, le Tribunal ne saurait faire abstraction du fait qu'à l'appui de sa première demande de révision, le recourant a versé au dossier un mandat d'arrêt qui a été qualifié de non plausible et considéré comme un faux par le Tribunal de céans (cf. l'arrêt du Tribunal administratif fédéral E-191/2009 du 29 septembre 2010 consid. 3.3 et 3.5). En outre, le Tribunal a estimé que le mandat d'arrêt que l'intéressé avait produit afin de prouver qu'il était recherché par les autorités turques dans le cadre de la deuxième procédure de révision était douteux et ne s'accordait pas avec le récit de l'intéressé (cf. l'arrêt du Tribunal administratif fédéral E-8724/2010 du 30 septembre 2011 consid. 3.3). Compte tenu de ces éléments, les risques auxquels ferait prétendument face le recourant en cas de retour dans son pays, et en particulier l'allégation selon laquelle il serait immédiatement incarcéré à son retour en Turquie (cf. lettre de l'intéressé du 7 février 2014), ne sont guère crédibles.</w:t>
      </w:r>
    </w:p>
    <w:p>
      <w:r>
        <w:rPr>
          <w:b/>
        </w:rPr>
        <w:t>E. 6.5.3</w:t>
      </w:r>
    </w:p>
    <w:p>
      <w:r>
        <w:t>Certes, le Tribunal n'ignore pas qu'eu égard notamment à la durée de son séjour en Suisse, le retour de A._______ en Turquie ne sera pas exempt de difficultés. S'agissant de ses possibilités de réintégration dans son pays d'origine, il convient toutefois de rappeler que le recourant, venu en Suisse alors qu'il était âgé de trente-neuf ans, est né et a passé toute son enfance, son adolescence ainsi qu'une grande partie de sa vie adulte en Turquie. Le Tribunal ne saurait admettre que ces années soient moins déterminantes pour la formation de la personnalité et, partant, pour l'intégration socioculturelle, que le séjour du recourant en Suisse, qui ne saurait au demeurant l'avoir rendu totalement étranger à sa patrie, où il a vécu pendant près de quarante ans. Il n'est en effet pas concevable que ce pays, où l'intéressé a passé la plus grande partie de son existence, lui soit devenu à ce point étranger qu'il ne serait plus en mesure, après une période de réadaptation, d'y retrouver ses repères. A ce propos, l'on ne saurait perdre de vu que l'intéressé dispose d'attaches familiales importantes en Turquie, où vivent notamment son épouse et ses enfants et que ce réseau familial est susceptible de faciliter sa réintégration dans son pays d'origine.</w:t>
      </w:r>
    </w:p>
    <w:p>
      <w:r>
        <w:rPr>
          <w:b/>
        </w:rPr>
        <w:t>E. 6.5.4</w:t>
      </w:r>
    </w:p>
    <w:p>
      <w:r>
        <w:t>Le désespoir exprimé par l'intéressé dans son courrier du 7 février 2014 ne saurait modifier l'appréciation du Tribunal. Cette situation peut en effet être couramment observée chez les personnes confrontées à l'imminence d'un renvoi et on ne saurait, d'une manière générale, prolonger indéfiniment le séjour d'une personne en Suisse au seul motif que la perspective d'un retour est susceptible d'avoir un impact négatif sur son état de santé psychique (cf. les arrêts du Tribunal administratif fédéral C-2527/2012 du 21 mai 2013 p. 9 et D-6450/2011 du 16 avril 2013 consid. 6.5.2).</w:t>
      </w:r>
    </w:p>
    <w:p>
      <w:r>
        <w:rPr>
          <w:b/>
        </w:rPr>
        <w:t>E. 7</w:t>
      </w:r>
    </w:p>
    <w:p>
      <w:r>
        <w:t>En conséquence, l'examen de l'ensemble des éléments de la présente cause amène le Tribunal à la conclusion que A._______ ne se trouve pas dans un cas de rigueur grave au sens des art. 14 al. 2 LAsi en relation avec l'art. 31 OASA.</w:t>
      </w:r>
    </w:p>
    <w:p>
      <w:r>
        <w:rPr>
          <w:b/>
        </w:rPr>
        <w:t>E. 8</w:t>
      </w:r>
    </w:p>
    <w:p>
      <w:r>
        <w:t>A l'appui de son pourvoi, le recourant s'est également prévalu du droit au respect de la vie privée consacré à l'art. 8 CEDH. A ce sujet, il convient tout au plus de rappeler que selon la jurisprudence constante du Tribunal fédéral, des conditions strictes doivent être remplies, pour que l'on puisse déduire un droit à une autorisation de séjour fondé sur le respect de la vie privée prévu à l'art. 8 CEDH, la personne concernée devant entretenir avec la Suisse des liens sociaux ou professionnels d'une intensité particulière, allant au-delà d'une intégration normale (à ce sujet, cf. notamment l'ATF 130 II 281 consid. 3.2.1 et l'arrêt du Tribunal fédéral 2C_860/2013 du 18 octobre 2013 consid. 4.1). Or, comme exposé aux consid. 6.2 à 6.4 ci-avant, l'intégration socioprofessionnelle de l'intéressé ne saurait être considérée comme exceptionnelle et le prénommé ne s'est pas créé avec la Suisse des attaches à ce point profondes et durables qu'il ne peut plus raisonnablement envisager un retour dans son pays d'origine. Par conséquent, A._______ ne saurait se prévaloir du droit au respect de la vie privée garanti à l'art. 8 CEDH pour prétendre à l'octroi d'une autorisation de séjour en sa faveur.</w:t>
      </w:r>
    </w:p>
    <w:p>
      <w:r>
        <w:rPr>
          <w:b/>
        </w:rPr>
        <w:t>E. 9</w:t>
      </w:r>
    </w:p>
    <w:p>
      <w:r>
        <w:t>Il ressort de ce qui précède que la décision de l'ODM du 1er octobre 2013 est conforme au droit.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