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C-6205/2016 vom 24. August 2018</w:t>
      </w:r>
    </w:p>
    <w:p>
      <w:r>
        <w:t>Bundesverwaltungsgericht, 2018-08-24, FR</w:t>
      </w:r>
    </w:p>
    <w:p>
      <w:r>
        <w:rPr>
          <w:b/>
        </w:rPr>
        <w:t xml:space="preserve">Quelle: </w:t>
      </w:r>
      <w:r>
        <w:t>https://mcp.opencaselaw.ch/entscheid/bvger_C-6205_2016</w:t>
      </w:r>
    </w:p>
    <w:p>
      <w:r>
        <w:t>FR: TAF C-6205/2016 du 24 août 2018</w:t>
      </w:r>
    </w:p>
    <w:p>
      <w:r>
        <w:t>IT: TAF C-6205/2016 del 24 agosto 2018</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outre, le Tribunal administratif fédéral ne peut statuer que sur les prétentions ou les rapports juridiques sur lesquels l'autorité inférieure s'est déjà prononcée ou aurait dû le faire (arrêt du TF 2C_612/2007 du 7 avril 2008 consid. 4.1 ; André Moser/Michael Beusch/Lorenz Kneubühler, Prozessieren vor dem Bundesverwaltungsgericht, 2013, p. 27 ss n° 2.1 ss et p. 120 s n° 2.213). Ainsi, l'objet du litige est délimité par la décision attaquée et le recours est irrecevable dans la mesure où des moyens de droit excédents l'objet du litige sont invoqués (arrêts du TF 8C_498/2013 du 23 octobre 2013 consid. 1 et 8C_716/2011 du 5 janvier 2012 consid. 1 ; ATF 125 V 413 consid. 1a ; 117 V 121 consid. 1; 116 V 265 consid. 2a).</w:t>
      </w:r>
    </w:p>
    <w:p>
      <w:r>
        <w:rPr>
          <w:b/>
        </w:rPr>
        <w:t>E. 1.4</w:t>
      </w:r>
    </w:p>
    <w:p>
      <w:r>
        <w:t>En l'occurrence, interjeté en temps utile (art. 20, 21, 22a, 50 PA et art. 60 LPGA), dans les formes légales (art. 52 PA) auprès de l'autorité judiciaire compétente (art. 33 let. d LTAF et art. 69 al. 1 let. b LAI), par un administré directement touché par la décision attaquée (art. 48 PA et art. 59 LPGA), qui s'est acquitté de l'avance de frais dans les temps (art. 63 al. 4 et 21 al. 3 PA), le recours du 6 octobre 2016 est recevable quant à la forme, dans la mesure où le recourant requiert l'annulation de la décision attaquée de non-entrée en matière sur sa seconde demande de prestations de l'assurance-invalidité. Il sied de préciser qu'en revanche, il n'appartient pas au Tribunal administratif fédéral de statuer matériellement sur cette demande de prestations dans le cadre de la présente procédure. Ainsi, dans la mesure où le recourant conclut à l'octroi d'une rente d'invalidité, le recours est irrecevable.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136 V 24 consid. 4.3 ; 129 V 1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des systèmes de sécurité sociale (RS 0.831.109.268.11 ; cf. arrêt du TF 8C_870/2012 du 8 juillet 2013 consid. 2.2).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253 consid. 2.4).</w:t>
      </w:r>
    </w:p>
    <w:p>
      <w:r>
        <w:rPr>
          <w:b/>
        </w:rPr>
        <w:t>E. 2.3</w:t>
      </w:r>
    </w:p>
    <w:p>
      <w:r>
        <w:t>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2.4</w:t>
      </w:r>
    </w:p>
    <w:p>
      <w:r>
        <w:t>En l'occurrence, le recourant est un ressortissant espagnol résidant en Espagne, soit dans un Etat membre de l'Union européenne (AI pces 1 p. 2 ; 20 p. 2). Ainsi, les dispositions légales de droit suisse en vigueur dans leur teneur au jour de la décision attaquée, soit au 13 septembre 2016, sont applicables.</w:t>
      </w:r>
    </w:p>
    <w:p>
      <w:r>
        <w:rPr>
          <w:b/>
        </w:rPr>
        <w:t>E. 2.5</w:t>
      </w:r>
    </w:p>
    <w:p>
      <w:r>
        <w:t>Par ailleurs, le Tribunal administratif fédéral se fondera sur l'état de fait, y compris l'état de santé du recourant, au jour de la décision, soit au 13 septembre 2016. Les éléments de fait postérieurs à cette date ne devant, en principe, pas être pris en considération sauf s'ils permettent une meilleure compréhension de l'état de santé du recourant antérieur à la décision attaquée (cf. ATF 130 V 445 consid. 1.2.1 ; voir notamment arrêt du TAF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par le recourant et n'examine les questions de droit non invoquées que dans la mesure où les arguments des parties ou le dossier l'y incite (ATF 122 V 157 consid. 1a ; 121 V 204 consid. 6c ; André Moser/Michael Beusch/Lorenz Kneubühler, Prozessieren vor dem Bundesverwaltungsgericht, 2e éd. 2013, p. 25 n° 1.55).</w:t>
      </w:r>
    </w:p>
    <w:p>
      <w:r>
        <w:rPr>
          <w:b/>
        </w:rPr>
        <w:t>E. 3.2</w:t>
      </w:r>
    </w:p>
    <w:p>
      <w:r>
        <w:t>En l'espèce, la question litigieuse est le bien-fondé de la décision du 13 septembre 2016 par laquelle l'OAIE a refusé d'entrer en matière sur la seconde demande de prestations de l'assurance-invalidité déposée par le recourant. En d'autres termes, l'objet du litige porte sur le point de savoir si cette manière de procéder était conforme au droit.</w:t>
      </w:r>
    </w:p>
    <w:p>
      <w:r>
        <w:rPr>
          <w:b/>
        </w:rPr>
        <w:t>E. 4.1</w:t>
      </w:r>
    </w:p>
    <w:p>
      <w:r>
        <w:t>La décision dont est recours fait suite à une première demande de rente ayant été rejetée par décision du 5 février 2015 au motif que l'intéressé ne présentait pas d'incapacité de travail moyenne suffisante, pendant une année, au sens de l'article 28 LAI, que l'activité d'ouvrier dans un entrepôt de bonbonnes de gaz exercée à ce moment-là permettait la réalisation d'un gain excluant le droit à une rente et que dès lors, il n'y avait pas d'invalidité au sens de la loi (AI pce 17). N'ayant pas fait l'objet d'un recours, cette décision est entrée en force de chose décidée.</w:t>
      </w:r>
    </w:p>
    <w:p>
      <w:r>
        <w:rPr>
          <w:b/>
        </w:rPr>
        <w:t>E. 4.2</w:t>
      </w:r>
    </w:p>
    <w:p>
      <w:r>
        <w:t>En application des articles 17 LPGA et 87 al. 2 et 3 du règlement du 17 janvier 1961 sur l'assurance-invalidité (RAI, RS 831.201 ; ATF 133 V 108 consid. 5 ; 130 V 71 consid. 3.2 ; arrêt du TF 9C_754/2015 du 18 août 2016 consid. 2 et les références citées),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Toutefois, le demandeur ne doit pas apporter une preuve complète qu'un changement notable est intervenu dans l'état de fait depuis la dernière décision. Il suffit qu'il existe des indices à l'appui de ce changement et que le juge et l'administration puissent être convaincus que les faits allégués se sont vraisemblablement produits (Michel Valterio, Droit de l'assurance-vieillesse et survivants [AVS] et de l'assurance-invalidité [AI], 2011, p. 840 n° 3100 ; arrêts du Tribunal fédéral I 619/04 du 10 février 2005 consid. 3.1 et 9C_68/2007 du 19 octobre 2007 consid. 4.4.1).</w:t>
      </w:r>
    </w:p>
    <w:p>
      <w:r>
        <w:rPr>
          <w:b/>
        </w:rPr>
        <w:t>E. 4.3</w:t>
      </w:r>
    </w:p>
    <w:p>
      <w:r>
        <w:t>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117 V 198 consid. 4b et les références citées). Si tel est le cas, l'affaire est liquidée d'entrée de cause et sans autres investigations par une décision de refus d'entrée en matière, le principe inquisitoire ne s'appliquant pas à la procédure prévue par l'art. 87 al. 3 RAI (ATF 130 V 64 consid. 5.2.5). Plus la période de temps écoulée entre la décision précédente et décision de non-entrée en matière est brève, plus l'autorité inférieure appréciera de manière rigoureuse la plausibilité des allégations de l'intéressé. Elle dispose pour cela d'une marge d'appréciation que le juge est en principe tenu de respecter (arrêt du TF 9C_708/2007 du 11 septembre 2008 consid. 2.3 et I 52/03 du 16 janvier 2004 consid. 3). Toutefois, d'après le Tribunal fédéral, lorsqu'une nouvelle demande de prestations a été déposée plus de 15 mois après la dernière décision de refus de prestations entrée en force, l'autorité inférieure ne devra pas poser des exigences élevées à la vraisemblance de ce qui est allégué (ATF 130 V 64 consid. 6.2 ; arrêt du TF I 460/01 du 18 février 2003 consid. 4.1).</w:t>
      </w:r>
    </w:p>
    <w:p>
      <w:r>
        <w:rPr>
          <w:b/>
        </w:rPr>
        <w:t>E. 4.4</w:t>
      </w:r>
    </w:p>
    <w:p>
      <w:r>
        <w:t>En l'espèce, il s'agit d'examiner s'il existe des indices rendant plausible une modification de l'invalidité du recourant propre à influencer ses droits entre la décision du 5 février 2015 (rendue au terme de l'examen de la première demande) et la décision du 13 septembre 2016 faisant suite à sa nouvelle demande du 18 avril 2016. En outre, il y a lieu de constater qu'entre la décision du 5 février 2015 et celle litigieuse dans le présent cas du 13 septembre 2016, un peu plus d'un an et demi s'est écoulé.</w:t>
      </w:r>
    </w:p>
    <w:p>
      <w:r>
        <w:rPr>
          <w:b/>
        </w:rPr>
        <w:t>E. 5.1</w:t>
      </w:r>
    </w:p>
    <w:p>
      <w:r>
        <w:t>Dans le cadre de la première demande de prestations, deux rapports médicaux établis en 2013 et 2014 attestant des atteintes du recourant situées au niveau de la colonne lombo-sacrée et de la cheville droite (cf. AI pces 5 ; 6) ont été examinés par un médecin SMR, à savoir le Dr E._______. Celui-ci s'est fondé sur ces rapports médicaux pour rendre sa prise de position médicale du 20 novembre 2014 (AI pce 15) et sur cette base, l'OAIE a rendu la décision de rejet du 5 février 2015 (AI pce 17).</w:t>
      </w:r>
    </w:p>
    <w:p>
      <w:r>
        <w:rPr>
          <w:b/>
        </w:rPr>
        <w:t>E. 5.2</w:t>
      </w:r>
    </w:p>
    <w:p>
      <w:r>
        <w:t>La décision de non-entrée en matière sur la deuxième demande de prestations rendue par l'autorité inférieure le 13 septembre 2016 est essentiellement basée sur la prise de position médicale très succincte du 9 juillet 2016 du service médical de l'OAIE, soit pour lui le Dr G._______, spécialiste FMH en médecine interne générale et médecin SMR, qui a retenu que la documentation médicale versée dans le cadre de la présente procédure ne rendait pas plausible que l'incapacité de travail s'était modifiée de manière à influencer le droit aux prestations (cf. AI pce 29). Ce rapport médical repose, quant à lui, sur deux nouveaux rapports médicaux des 29 mars 2016 et 23 mai 2016 établis par le Dr F._______, dont la spécialisation n'est pas connue (cf. AI pces 24 ; 25).</w:t>
      </w:r>
    </w:p>
    <w:p>
      <w:r>
        <w:rPr>
          <w:b/>
        </w:rPr>
        <w:t>E. 5.2.1</w:t>
      </w:r>
    </w:p>
    <w:p>
      <w:r>
        <w:t>Dans le cadre du présent recours, l'intéressé conteste la conclusion dudit rapport médical du Dr G._______ notamment au motif que l'autorité inférieure n'avait pas tenu compte des nouveaux rapports médicaux au dossier. Il invoque en outre que son état de santé, qui s'était entretemps aggravé, ne lui permettait pas de pouvoir subvenir à ses besoins, son incapacité de travail étant totale, même dans une activité légère, sédentaire ou adaptée à ses limitations en raison de sa maladie arthritique très grave, affectant tant ses extrémités supérieures qu'inférieures, l'empêchant de marcher correctement et à faire usage de ses mains avec un minimum d'habilité (cf. TAF pces 1 ; 12).</w:t>
      </w:r>
    </w:p>
    <w:p>
      <w:r>
        <w:rPr>
          <w:b/>
        </w:rPr>
        <w:t>E. 5.2.2</w:t>
      </w:r>
    </w:p>
    <w:p>
      <w:r>
        <w:t>A la lecture des nouvelles pièces médicales versées au dossier dans le cadre de la deuxième demande de prestations, il ressort que le recourant souffre en sus des troubles situés au niveau de la colonne lombaire diagnostiqués en 2014 (à savoir pas de déficits cliniques avec une dégénérescence constatée radiologiquement liée à l'âge ; cf. AI pce 15), qui semblent s'être légèrement dégradés (le Dr F._______ confirmant en 2016 des limitations modérées des flexions lombaire et axiale ; cf. AI pce 25), nouvellement d'une arthrite rhumatoïde séronégative (CIM-9 714.0 équivalant à CIM-10 M06.9 ; cf. AI pces 24 ; 25). Ainsi, le Dr F._______ cite dans sa prise de position du 29 mars 2016 (cf. AI pce 25) un rapport médical du Complexo Hospitalario H._______ du 25 novembre 2015 informant que le recourant souffrait d'arthralgies intermittentes, que sa cheville droite était enflammée et tuméfiée, qu'il souffrait de douleurs, d'une tuméfaction et de limitations fonctionnelles du coude droite ainsi que de douleurs à la pression et mobilisation des carpes et des épaules, et retenant sur cette base le diagnostic d'une arthrite rhumatoïde séronégative. Puis, le Dr F._______ confirme à l'examen clinique notamment une tuméfaction de la cheville droite de l'intéressé ainsi que de ses carpes et note une marche autonome avec une boiterie modérée droite. En comparaison, lors de la première demande de prestations, la Dre D._______ avait attesté à l'examen clinique notamment une mobilité complète des membres supérieurs et de la ceinture scapulaire (cf. AI pce 5 p. 5 n° 4.8.2), une ceinture pelvienne ayant une bonne mobilité, des rotules libres, pas de signes méniscaux, un test de tiroir négatif, pas de douleurs à la pression des fascias plantaires, la mobilité complète de la cheville gauche, une légère impotence fonctionnelle de la cheville droite, à savoir une perte des derniers degrés de l'abduction/adduction ainsi que de la flexo-extension (p. 5 n° 4.8.3), des mouvements et de la marche normaux, sans aide ainsi que des réflexes neurologiques présents et symétriques (p. 5 n° 4.10). En outre, il appert que lors de la première demande de prestations, l'intéressé ne suivait aucun traitement médical, alors que par la suite, les médecins évoquent une prise de méthotrexate (2.5 mg 6 capsules/semaine) depuis novembre 2015 et de prednisone (10 mg chaque matin ; cf. AI pce 25 p. 1). Ainsi, une partie des troubles de santé à l'origine de la deuxième demande de prestations relèvent d'une atteinte potentiellement invalidante et non existante au moment de la première demande de prestations, qui constitue un élément de nature à rendre plausible une modification de l'état de santé du recourant telle qu'exigée par l'art. 87 RAI et qu'il conviendra de clarifier.</w:t>
      </w:r>
    </w:p>
    <w:p>
      <w:r>
        <w:rPr>
          <w:b/>
        </w:rPr>
        <w:t>E. 5.2.3</w:t>
      </w:r>
    </w:p>
    <w:p>
      <w:r>
        <w:t>Puis, en ce qui concerne les limitations fonctionnelles de l'intéressé, les médecins avaient retenu en 2014 que ce dernier demeurait capable d'exercer de façon régulière des travaux mi-lourds dans une position de travail assise, debout et alternée, la marche étant possible, observant des limites au niveau du port des charges de 1'000 kg avec une grue et de 20 kg manuellement de temps en temps, des travaux lourds étant partiellement possibles mais devaient être adaptés à l'âge de l'intéressé (cf. AI pces 5 p. 8 s ; 15 p. 2), tandis qu'en 2016, le Dr F._______ constate que les atteintes de l'intéressé l'empêchaient d'exercer des travaux impliquant notamment la marche de moyennes ou longues distances, le travail en position debout ou accroupie, la montée, descente et le port de charges (cf. AI pce 25 p. 2), sans pourtant indiquer plus précisément la charge maximale admissible. En outre, il appert que ledit médecin ne précise notamment pas non plus les conséquences de l'arthrite des carpes sur l'exercice de travaux manuels. Malgré ces imprécisions, force est de constater que les limitations fonctionnelles ont augmenté entre la première et deuxième demande de prestations, élément rendant plausible une modification de l'invalidité du recourant propre à influencer ses droits après le 5 février 2015.</w:t>
      </w:r>
    </w:p>
    <w:p>
      <w:r>
        <w:rPr>
          <w:b/>
        </w:rPr>
        <w:t>E. 5.2.4</w:t>
      </w:r>
    </w:p>
    <w:p>
      <w:r>
        <w:t>S'agissant finalement de la capacité de travail de l'intéressé, alors que les Drs D._______ et E._______ avaient attesté dans le cadre de la première demande de prestations que l'intéressé demeurait, malgré les atteintes à la santé évoquées, capable d'exercer la dernière activité de magasinier à plein temps ainsi que toute autre activité similaire à l'activité habituelle (cf. AI pces 5 p. 10 ; 15 p. 1), le Dr F._______ retient que depuis le 9 avril 2015, l'intéressé ne pouvait plus exercer sa dernière activité à temps plein, sans pourtant indiquer le temps maximum de travail dans cette activité ou de mentionner si une activité adaptée aux limitations fonctionnelles pouvait encore être pratiquée (AI pces 24 p. 10 ; 25 p. 1). Force est de constater que même si les taux d'incapacité ne sont pas précisés de manière détaillée, il existe de forts indices que la capacité de travail de l'intéressé s'est détériorée entre la première et la deuxième demande de prestations, élément qui est apte à influencer ses droits et qu'il conviendra également de clarifier.</w:t>
      </w:r>
    </w:p>
    <w:p>
      <w:r>
        <w:rPr>
          <w:b/>
        </w:rPr>
        <w:t>E. 5.3</w:t>
      </w:r>
    </w:p>
    <w:p>
      <w:r>
        <w:t>Dès lors, eu égard à ce qui précède, le Tribunal de céans constate que les pièces produites avec la nouvelle demande mettent en lumière plusieurs éléments qui suffisent à rendre vraisemblable une modification de l'état de santé du recourant dans le sens d'une péjoration, propre à influer sur son droit à des prestations de l'AI, entre la décision du 5 février 2015 rejetant la première demande de prestations et celle de non-entrée en matière du 13 septembre 2016. Il convient par conséquent d'entrer en matière sur la nouvelle demande de prestations.</w:t>
      </w:r>
    </w:p>
    <w:p>
      <w:r>
        <w:rPr>
          <w:b/>
        </w:rPr>
        <w:t>E. 5.4</w:t>
      </w:r>
    </w:p>
    <w:p>
      <w:r>
        <w:t>Partant, le recours, en tant qu'il est recevable, doit être admis et la décision du 13 septembre 2016 annulée. La cause est renvoyée à l'autorité inférieure afin qu'elle entre en matière sur la nouvelle demande de prestations déposée le 18 avril 2016 par le recourant et examine l'affaire au fond, en particulier au niveau rhumatologique, par la mise en oeuvre, le cas échéant, d'une expertise médicale.</w:t>
      </w:r>
    </w:p>
    <w:p>
      <w:r>
        <w:rPr>
          <w:b/>
        </w:rPr>
        <w:t>E. 6.1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6.2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Fr. 815.- (cf. TAF pces 2 ; 3 ; 4 ; 5) lui sera restituée dès l'entrée en force du présent arrêt.</w:t>
      </w:r>
    </w:p>
    <w:p>
      <w:r>
        <w:rPr>
          <w:b/>
        </w:rPr>
        <w:t>E. 6.3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Les honoraires du représentant sont fixés, selon l'appréciation de l'autorité, en fonction de l'importance et de la difficulté du litige, ainsi que d'après le travail et le temps que le représentant a dû y consacrer (arrêt du TF 9C_637/2013 du 13 décembre 2013 consid. 5.2).</w:t>
      </w:r>
    </w:p>
    <w:p>
      <w:r>
        <w:rPr>
          <w:b/>
        </w:rPr>
        <w:t>E. 6.4</w:t>
      </w:r>
    </w:p>
    <w:p>
      <w:r>
        <w:t>En l'espèce, au vu de l'issue du litige et compte tenu du travail effectué par le mandataire du recourant, qui a consisté en la rédaction d'un recours de six pages et d'une réplique de quatre pages, qui reprend en substance les arguments du recours, il convient de lui allouer une indemnité de dépens de Fr. 800.- (sans TVA),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