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C-6203/2014 vom 16. Februar 2016</w:t>
      </w:r>
    </w:p>
    <w:p>
      <w:r>
        <w:t>Bundesverwaltungsgericht, 2016-02-16, DE</w:t>
      </w:r>
    </w:p>
    <w:p>
      <w:r>
        <w:rPr>
          <w:b/>
        </w:rPr>
        <w:t xml:space="preserve">Quelle: </w:t>
      </w:r>
      <w:r>
        <w:t>https://mcp.opencaselaw.ch/entscheid/bvger_C-6203_2014</w:t>
      </w:r>
    </w:p>
    <w:p>
      <w:r>
        <w:t>FR: TAF C-6203/2014 du 16 février 2016</w:t>
      </w:r>
    </w:p>
    <w:p>
      <w:r>
        <w:t>IT: TAF C-6203/2014 del 16 febbraio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Die Beschwerdeführerin ist als Verfügungsadressatin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w:t>
      </w:r>
    </w:p>
    <w:p>
      <w:r>
        <w:t>In formeller Hinsicht rügt die Beschwerdeführerin die Verletzung des rechtlichen Gehörs, weil sie keine Gelegenheit gehabt habe, sich vor Erlass des Einreiseverbots dazu zu äussern. Der Beschwerdeführerin wurde seitens der Grenzwache Basel-Flughafen am 26. Dezember 2013 die Gelegenheit geboten, sich zur allfälligen Verhängung einer Fernhaltemassnahme zu äussern. Sie verzichtete jedoch darauf und unterzeichnete das Formular "Rechtliches Gehör zur Anordnung von Entfernungs- und Fernhaltemassnahmen". Damit hatte sie - entgegen ihren Behauptungen - hinreichend Gelegenheit zur Stellungnahme im Sinne einer Wahrnehmung des rechtlichen Gehörs und kann sich nachträglich nicht auf eine Verletzung berufen.</w:t>
      </w:r>
    </w:p>
    <w:p>
      <w:r>
        <w:rPr>
          <w:b/>
        </w:rPr>
        <w:t>E. 4.1</w:t>
      </w:r>
    </w:p>
    <w:p>
      <w:r>
        <w:t>Das SEM kann Einreiseverbote unter anderem gegenüber einer ausländischen Person verfügen, die gegen die öffentliche Ordnung und Sicherheit in der Schweiz oder im Ausland verstossen hat oder diese gefährdet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Die Verbotsdauer kann dabei fünf Jahre überschreiten und bis maximal 15 Jahre, im Wiederholungsfall 20 Jahre betragen (vgl. BVGE 2014/20). Aus humanitären Gründen kann von der Verhängung eines Einreiseverbots abgesehen oder ein solches vor-übergehend aufgehoben werden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b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4.4</w:t>
      </w:r>
    </w:p>
    <w:p>
      <w:r>
        <w:t>Wird gegen eine Person, die nicht das Bürgerrecht eines EU-Mit­gliedstaates besitzt, ein Einreiseverbot verhängt, so wird sie nach Massgabe der Bedeutung des Falles im SIS II zur Einreiseverweigerung ausgeschrieben (vgl. Art. 21 u. Art. 24 der SIS-II-Verordnung [ABl. L 381/4 vom 28.12.2006]). Damit wird dem Betroffenen grund­sätzlich die Einreise in das Hoheitsgebiet aller Schengen-Staaten verbo­ten (vgl. Art. 5 Abs. 1 Bst. d sowie Art. 13 Abs. 1 Schengener Grenzkodex [SGK, ABl. L 105/1 vom 13.4.2006]). Die Mitgliedstaaten können dem Betroffe­nen aus wichtigen Gründen oder aufgrund internationaler Verpflichtungen die Einreise gestatten bzw. ihm ein Vi­sum mit räum­lich beschränkter Gültigkeit ausstellen (vgl. Art. 13 Abs. 1 Visakodex [ABl. L 243/1 vom 15.9.2009] i.V.m Art. 5 Abs. 4 Bst. c SGK; Art. 25 Abs. 1 Bst. a Ziff. ii Visakodex).</w:t>
      </w:r>
    </w:p>
    <w:p>
      <w:r>
        <w:rPr>
          <w:b/>
        </w:rPr>
        <w:t>E. 5.1</w:t>
      </w:r>
    </w:p>
    <w:p>
      <w:r>
        <w:t>Die Vorinstanz stützte das Einreiseverbot auf Art. 67 Abs. 2 Bst. a AuG und verwies zur Begründung auf die von der Beschwerdeführerin begangene Widerhandlung gegen das Ausländergesetz (vgl. Sachverhalt Bst. A und B). Diese wird von der Beschwerdeführerin anerkannt (vgl. SEM act. 7). Der diesbezügliche Strafbefehl ist in Rechtskraft erwachsen. Die Beschwerdeführerin hat durch die von ihr verübte Straftat gegen die öffentliche Sicherheit und Ordnung verstossen und damit unter dem Gesichtspunkt von Art. 67 Abs. 2 Bst. a AuG hinreichenden Anlass für die Verhängung einer Fernhaltemassnahme gegeben.</w:t>
      </w:r>
    </w:p>
    <w:p>
      <w:r>
        <w:rPr>
          <w:b/>
        </w:rPr>
        <w:t>E. 5.2</w:t>
      </w:r>
    </w:p>
    <w:p>
      <w:r>
        <w:t>Die Beschwerdeführerin bringt vor, dass von ihr keine Gefahr mehr für die öffentliche Sicherheit und Ordnung ausgehe. Diesbezüglich ist darauf hinzuweisen, dass das Einreiseverbot zwar eine präventiv-polizeiliche Massnahme ist, die an das Risiko einer künftigen Gefährdung anknüpft, bei der Prognosestellung indes naturgemäss in erster Linie das vergangene Verhalten der betroffenen Person zu berücksichtigen ist (vgl. Urteil des BVGer C-256/2013 vom 16. April 2015 E. 3.2 m.H.). Die Vorinstanz hat aus dem von der Beschwerdeführerin in jüngster Vergangenheit gezeigten Verhalten zu Recht auf ein Risiko weiterer Verstösse gegen die öffentliche Sicherheit und Ordnung geschlossen. Sodann ist vorliegend auch generalpräventiven Überlegungen Rechnung zu tragen (vgl. E. 6.1).</w:t>
      </w:r>
    </w:p>
    <w:p>
      <w:r>
        <w:rPr>
          <w:b/>
        </w:rPr>
        <w:t>E. 5.3</w:t>
      </w:r>
    </w:p>
    <w:p>
      <w:r>
        <w:t>Zusammenfassend ist festzuhalten, dass die Beschwerdeführerin hinreichenden Anlass für die Verhängung eines Einreiseverbots gegeben hat (Art. 67 Abs. 1 Bst. a sowie Abs. 2 Bst. a und c AuG).</w:t>
      </w:r>
    </w:p>
    <w:p>
      <w:r>
        <w:rPr>
          <w:b/>
        </w:rPr>
        <w:t>E. 6.1</w:t>
      </w:r>
    </w:p>
    <w:p>
      <w:r>
        <w:t>Die Beschwerdeführerin reiste im Jahr 2011 in die Schweiz ein und hielt sich anschliessend während mehr als zwei Jahren rechtswidrig im Schengen-Raum auf. Mit diesem Verhalten hat sie die öffentliche Sicherheit und Ordnung verletzt. Die Vorinstanz war daher berechtigt, zur Abwendung künftiger Störungen der öffentlichen Sicherheit und Ordnung ein Einreiseverbot zu verhängen. Zudem hat die Beschwerdeführerin im Bewusstsein um die dauernde Rechtswidrigkeit ihres Aufenthalts gehandelt und damit bewiesen, dass sie nicht willens ist, die schweizerische Rechtsordnung vollumfänglich zu respektieren. Selbst wenn sie, wie sie behauptet, beabsichtigt eine im Schengen-Raum ansässige Person zu heiraten, so vermag dies ihr Handeln nicht zu rechtfertigen. Dies gilt umso mehr, als dass die angebliche Heiratsabsicht weder näher ausgeführt noch belegt wurde. Soweit aktenkundig wurden auch keine Schritte zur Ehevorbereitung unternommen. Unter diesen Umständen kann das Risiko der erneuten Verletzung ausländerrechtlicher Bestimmungen zum jetzigen Zeitpunkt als in ausschlaggebendem Masse vorhanden beurteilt werden. Folglich liegt auch eine Gefährdung der öffentlichen Sicherheit und Ordnung im Sinne des Gesetzes vor. Als gewichtig zu betrachten ist vorliegend einerseits das generalpräventiv motivierte Interesse, die öffentliche Ordnung durch eine konsequente Massnahmenpraxis zu schützen. Andererseits liegt eine spezialpräventive Zielsetzung der Massnahme darin, dass sie die Beschwerdeführerin ermahnt, bei einer künftigen Wiedereinreise in die Schweiz resp. in den Schengen-Raum, nach Ablauf der Dauer des Einreiseverbots, die für sie geltenden Regeln einzuhalten (vgl. Urteil des BGer 2C_111/2015 vom 26. Juni 2015 E. 3.9; Urteile des BVGer C 1678/2014 vom 10. März 2015 E. 5.2 und C-2913/2014 vom 25. Februar 2015 E. 6.2 je m.H.). Es besteht demnach ein erhebliches öffentliches Interesse an der befristeten Fernhaltung der Beschwerdeführerin.</w:t>
      </w:r>
    </w:p>
    <w:p>
      <w:r>
        <w:rPr>
          <w:b/>
        </w:rPr>
        <w:t>E. 6.2</w:t>
      </w:r>
    </w:p>
    <w:p>
      <w:r>
        <w:t>Dem öffentlichen Interesse sind die privaten Interessen der Beschwerdeführerin gegenüber zu stellen. Diese macht zwar familiäre Gründe gestützt auf die zu schliessende Ehe geltend, substantiiert die angeblich geplante Eheschliessung, wie bereits in E. 6.1 ausgeführt, jedoch nicht. Unter diesen Umständen liegt kein Sachverhalt vor, der in den Schutzbereich von Art. 13 BV bzw. Art. 8 EMRK fällt. Soweit in diesem Zusammenhang die angebliche Pflegebedürftigkeit des zukünftigen Ehegatten von Bedeutung ist, so stehen der Berücksichtigung dieses geltend gemachten Interesses in erster Linie die ungenügende Substantiierung des massgeblichen Sachverhaltes sowie das Fehlen jeglicher Beweismittel entgegen. Weitere private Interessen, welche dem öffentlichen Fernhalteinteresse gegenüber gestellt werden könnten, wurden weder geltend gemacht, noch enthalten die Akten entsprechende Hinweise. Das öffentliche Interesse an der dreijährigen Fernhaltung der Beschwerdeführerin kann folglich nicht durch entgegenstehende private Interessen relativiert werden.</w:t>
      </w:r>
    </w:p>
    <w:p>
      <w:r>
        <w:rPr>
          <w:b/>
        </w:rPr>
        <w:t>E. 6.3</w:t>
      </w:r>
    </w:p>
    <w:p>
      <w:r>
        <w:t>Die Beschwerdeführerin ist nicht Bürgerin eines Schengenstaates, weshalb das fragliche Einreiseverbot nach Art. 96 des Übereinkommens vom 19. Juni 1990 zur Durchführung des Überein­kommens betreffend den schrittweisen Abbau der Kontrollen an den gemein­samen Grenzen (Schengener Durchführungsübereinkommen [SDÜ], Abl. L 239/19 vom 22. September 2000) im SIS ausgeschrieben wurde. Das in Art. 25 SDÜ vorgesehene Konsultationsverfahren regelt, wann der ausschreibende Vertragsstaat die Einreiseverweigerung gegenüber einem Drittstaatsangehörigen im SIS wieder löscht. Dies wäre dann der Fall, wenn ein anderes Schengenland der Beschwerdeführerin eine Aufenthaltserlaubnis erteilte oder zusicherte. Damit wird den Anforderungen an die Verhältnismässigkeit Genüge getan. Einzelfallweise bestehen weitere Lockerungsmöglichkeiten (bezogen auf Einreisen in die Schweiz siehe beispielsweise die genannte Möglichkeit der Suspension des Einreiseverbots gemäss Art. 67 Abs. 5 AuG).</w:t>
      </w:r>
    </w:p>
    <w:p>
      <w:r>
        <w:rPr>
          <w:b/>
        </w:rPr>
        <w:t>E. 6.4</w:t>
      </w:r>
    </w:p>
    <w:p>
      <w:r>
        <w:t>Vorliegend wurde die Schweiz von keiner anderen Vertragspartei konsultiert. Zudem sind keine weiteren Lockerungsmöglichkeiten ersichtlich. Da die Beschwerdeführerin derzeit kein Aufenthaltsrecht in einem EU-Staat besitzt (vgl. Urteil des BVGer C 2681/2010 vom 6. Mai 2011 E. 4.2), erfolgte die Ausschreibung im SIS rechtmässig.</w:t>
      </w:r>
    </w:p>
    <w:p>
      <w:r>
        <w:rPr>
          <w:b/>
        </w:rPr>
        <w:t>E. 6.5</w:t>
      </w:r>
    </w:p>
    <w:p>
      <w:r>
        <w:t>Das verhängte Einreiseverbot stellt nach dem Gesagten sowohl im Grundsatz als auch hinsichtlich der Dauer eine verhältnismässige und angemessene Massnahme zum Schutz der öffentlichen Sicherheit und Ordnung dar. Im Übrigen ist die angefochtene Verfügung nicht zu beanstanden (Art. 49 VwVG).</w:t>
      </w:r>
    </w:p>
    <w:p>
      <w:r>
        <w:rPr>
          <w:b/>
        </w:rPr>
        <w:t>E. 7</w:t>
      </w:r>
    </w:p>
    <w:p>
      <w:r>
        <w:t>Aus diesen Erwägungen ergibt sich, dass die Beschwerde abzuweisen ist. Dementsprechend wird die unterliegende Beschwerdeführerin kostenpflichtig (Art. 63 Abs. 1 VwVG). Die Verfahrenskosten sind auf Fr. 1'000.- festzusetzen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