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C-6201/2013 vom 30. September 2014</w:t>
      </w:r>
    </w:p>
    <w:p>
      <w:r>
        <w:t>Bundesverwaltungsgericht, 2014-09-30, DE</w:t>
      </w:r>
    </w:p>
    <w:p>
      <w:r>
        <w:rPr>
          <w:b/>
        </w:rPr>
        <w:t xml:space="preserve">Quelle: </w:t>
      </w:r>
      <w:r>
        <w:t>https://mcp.opencaselaw.ch/entscheid/bvger_C-6201_2013</w:t>
      </w:r>
    </w:p>
    <w:p>
      <w:r>
        <w:t>FR: TAF C-6201/2013 du 30 septembre 2014</w:t>
      </w:r>
    </w:p>
    <w:p>
      <w:r>
        <w:t>IT: TAF C-6201/2013 del 30 settembre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der Einsprache betreffend Verweigerung der Erteilung von Schengen-Visa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Die Beschwerdeführenden sind gemäss Art. 48 Abs. 1 VwVG zur Beschwerde berechtigt. Insbesondere haben sie am vorinstanzlichen Verfahren teilgenommen (Art. 48 Abs. 1 Bst. a VwVG), wo sie sich durch F._______ vertreten liessen, die Beschwerdeführerinnen 1 und 2 direkt und die Beschwerdeführenden 3 und 4 durch E._______ als gesetzlichen Vertreter. Auf die im Übrigen frist- und formgerecht eingereichte Beschwerde ist demnach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w:t>
      </w:r>
    </w:p>
    <w:p>
      <w:r>
        <w:t>Der angefochtenen Verfügung liegen Gesuche von indonesischen Staatsangehörigen um Erteilung eines Visums für einen dreiwöchigen Aufenthalt in der Schweiz zugrunde. Da sich die Beschwerdeführenden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w:t>
      </w:r>
    </w:p>
    <w:p>
      <w:r>
        <w:rPr>
          <w:b/>
        </w:rPr>
        <w:t>E. 5.2</w:t>
      </w:r>
    </w:p>
    <w:p>
      <w:r>
        <w:t>Sind - abgesehen vom Visum selbst - die Voraussetzungen für die Ausstellung eines für den gesamten Schengen-Raum geltenden Visums nicht erfüllt, kann in Ausnahmefällen ein sog.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Indonesien in dieser Liste aufgeführt sind, unterliegen die Beschwerdeführenden der Visumspflicht.</w:t>
      </w:r>
    </w:p>
    <w:p>
      <w:r>
        <w:rPr>
          <w:b/>
        </w:rPr>
        <w:t>E. 7.1</w:t>
      </w:r>
    </w:p>
    <w:p>
      <w:r>
        <w:t>Die Vorinstanz begründet die Abweisung der Einsprache im Wesentlichen damit, dass die Wiederausreise der Beschwerdeführenden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Personen in die Beurteilung mit einzubeziehen.</w:t>
      </w:r>
    </w:p>
    <w:p>
      <w:r>
        <w:rPr>
          <w:b/>
        </w:rPr>
        <w:t>E. 7.2.1</w:t>
      </w:r>
    </w:p>
    <w:p>
      <w:r>
        <w:t>Die wirtschaftliche Lage Indonesiens ist insgesamt solid. Im Jahr 2013 lag das Wirtschaftswachstum bei 5,8 % des Bruttoinlandprodukts (BIP). Wichtigste Wirtschaftszweige sind industrielle Fertigung, Handel/Hotel/Gastgewerbe sowie Land-, Wald- und Fischereiwirtschaft. Mehr als die Hälfte des BIP wird auf der Insel Java erwirtschaftet; wichtige Wirtschaftsregionen finden sich auch auf anderen Inseln, beispielsweise auf Sumatra oder Bali. Etwa 60 % der Arbeitnehmer sind im informellen Sektor beschäftigt. Die offizielle Arbeitslosenrate lag 2013 bei 6,3 %. Gut 11 % der Bevölkerung leben unter der nationalen Armutsgrenze von etwa 25 USD/Monat. Die politische Lage Indonesiens ist grundsätzlich stabil. Separatistische Bewegungen und immer wieder aufflammende ethnisch-religiös motivierte Spannungen gefährden jedoch die Sicherheit in einzelnen Regionen (vgl. Deutsches Auswärtiges Amt, www.auswaertiges-amt.de &gt; Reise &amp; Sicherheit &gt; [Suche] Indonesien &gt; Reisehinweise, berücksichtigte Unterkapitel: Wirtschaftspolitik [Stand: März 2014], Innenpolitik [Stand: September 2013] und Reise- und Sicherheitshinweise; Eidgenössisches Departement für auswärtige Angelegenheiten, www.eda.admin.ch &gt; Reisehinweise &gt; Reiseziele &gt; Indonesien. Beide Websites abgerufen am 12.09.2014).</w:t>
      </w:r>
    </w:p>
    <w:p>
      <w:r>
        <w:rPr>
          <w:b/>
        </w:rPr>
        <w:t>E. 7.2.2</w:t>
      </w:r>
    </w:p>
    <w:p>
      <w:r>
        <w:t>Vor diesem Hintergrund ist nicht zu beanstanden, dass die Vorinstanz das Risiko einer nicht fristgerechten Wiederausreise von Besuchern aus Indonesien allgemein als hoch einschätzt, insbesondere, wenn sie - wie beispielsweise die Beschwerdeführerin 1 - aus einem Gebiet mit immer wieder aufflackernden ethnisch oder religiös motivierten Spannungen stammen. Solche Bedenken sind auch gerechtfertigt, wenn die gesuchstellende Person in der Schweiz bereits über ein gewisses soziales Beziehungsnetz (Verwandte oder Freunde) verfügt.</w:t>
      </w:r>
    </w:p>
    <w:p>
      <w:r>
        <w:rPr>
          <w:b/>
        </w:rPr>
        <w:t>E. 7.3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7.4.1</w:t>
      </w:r>
    </w:p>
    <w:p>
      <w:r>
        <w:t>Die Beschwerdeführer 3 und 4 sind im Juli dieses Jahres zwei Jahre alt geworden. In diesem Alter richtet sich der Aufenthaltsort der Kinder nach dem Willen der Eltern. Im vorliegenden Fall hat sich der in der Schweiz niederlassungsberechtigte Vater entschieden, vorerst in Indonesien zu leben. Der Vater hätte somit die Möglichkeit, die Kinder im Rahmen des Familiennachzugs dauerhaft in die Schweiz zu holen. Aus diesem Grund ist davon auszugehen, dass die Kinder nach einem bewilligten Besuchsaufenthalt die Schweiz wieder verlassen werden.</w:t>
      </w:r>
    </w:p>
    <w:p>
      <w:r>
        <w:rPr>
          <w:b/>
        </w:rPr>
        <w:t>E. 7.4.2</w:t>
      </w:r>
    </w:p>
    <w:p>
      <w:r>
        <w:t>Die Beschwerdeführerin 1 ist die Mutter von E._______. Sie ist 69 Jahre alt, verwitwet und hat nach eigenen Angaben immer auf der Insel Ambon gelebt. Sie macht geltend, dort sozial und familiär stark verwurzelt zu sein und sich besonders in der Kirchgemeinde zu engagieren. Als pensionierte Angestellte im Bereich Schulverwaltung beziehe sie eine "ordentliche Rente sowie eine Witwenrente". Sie möchte für rund drei Wochen in die Schweiz kommen, um an der Taufe ihrer Enkelkinder teilzunehmen sowie die Familie ihres Schwiegersohnes und den Ort kennen zu lernen, wo ihr Sohn lange Jahre gelebt hat. Die Bedenken der Vorinstanz, die Beschwerdeführerin 1 würde nicht wieder ausreisen, können aufgrund der Aktenlage nicht geteilt werden. Die Ausführungen zu Zweck und Dauer des beabsichtigten Aufenthalts sind nachvollziehbar und in sich stimmig. Was die Situation der Beschwerdeführerin 1 in Indonesien anbelangt, so lässt sich daraus kein Migrationsrisiko ableiten. Zu diesem Schluss tragen insbesondere das Alter, das fehlende Beziehungsnetz in der Schweiz sowie die glaubhaft dargelegte Verwurzelung im Heimatland bei. Der Umstand, dass es in Ambon immer wieder zu religiös motivierten Auseinandersetzungen kommt, vermag an dieser Beurteilung nichts zu ändern, zumal die Beschwerdeführerin 1 im Jahre 2011, als es zu heftigen Zusammenstössen gekommen ist (vgl. etwa NZZ vom 28. September 2011, Indonesiens brüchiger Religionsfrieden), nicht versucht hat, ihren damals in der Schweiz lebenden Sohn zu besuchen.</w:t>
      </w:r>
    </w:p>
    <w:p>
      <w:r>
        <w:rPr>
          <w:b/>
        </w:rPr>
        <w:t>E. 7.4.3</w:t>
      </w:r>
    </w:p>
    <w:p>
      <w:r>
        <w:t>Die Beschwerdeführerin 2 ist das Kindermädchen der Beschwerdeführer 3 und 4. Sie betreut die Kinder seit jeher und soll sich auch während des Aufenthalts in der Schweiz um sie kümmern und an deren Taufe teilnehmen. Sie ist 24 Jahre alt und eine Cousine von E._______. Gemäss der Eingabe vom 8. August 2014 hatte sie die Absicht, noch im August zu heiraten. Es gibt keinen Anlass an diesen Angaben zu zweifeln. Es erscheint glaubhaft, dass die Gründe für die Reise die Betreuung der Kinder auch in dieser Zeit und die Teilnahme an der Taufe sind. Zwar werden keine Dokumente vorgelegt, weder für das Arbeitsverhältnis noch für die geplante Eheschliessung. Es gibt jedoch auch keine Hinweise, die Zweifel am Zweck des Aufenthalts wecken würden. Es ist daher davon auszugehen, dass die Beschwerdeführerin 2 mit den Kindern nach Indonesien zurückreisen wird.</w:t>
      </w:r>
    </w:p>
    <w:p>
      <w:r>
        <w:rPr>
          <w:b/>
        </w:rPr>
        <w:t>E. 8</w:t>
      </w:r>
    </w:p>
    <w:p>
      <w:r>
        <w:t>Zusammenfassend ist somit festzuhalten, dass den Beschwerdeführenden die Erteilung eines Visums nicht mit der Begründung verweigert werden kann, aufgrund der allgemeinen Lage in Indonesien und ihrer jeweiligen persönlichen Situation erscheine die Wiederausreise nicht gesichert bzw. Zweck und Umstände des beabsichtigten Aufenthalts seien nicht belegt. Indem die Vorinstanz den rechtserheblichen Sachverhalt wesentlich anders beurteilt hat, hat sie Bundesrecht verletzt (vgl. Art. 49 Bst. a VwVG). Die Beschwerde ist demnach gutzuheissen und die Sache zur neuerlichen Beurteilung an die Vorinstanz zurückzuweisen. Dieser bleibt zu prüfen, ob die übrigen Einreisevoraussetzungen (noch) erfüllt sind (vgl. E. 5), was jedenfalls zur Erteilung der beantragten Visa führt (vgl. BVGE 2014/1 E. 4.1.5), oder ob allenfalls gemäss Art. 2 Abs. 4 VEV aus humanitären Gründen ein Visum mit räumlich beschränkter Gültigkeit in Frage kommt.</w:t>
      </w:r>
    </w:p>
    <w:p>
      <w:r>
        <w:rPr>
          <w:b/>
        </w:rPr>
        <w:t>E. 9.1</w:t>
      </w:r>
    </w:p>
    <w:p>
      <w:r>
        <w:t>Bei diesem Ausgang des Verfahrens sind keine Kosten aufzuerlegen (vgl. Art. 63 Abs. 1 und Abs. 2 VwVG).</w:t>
      </w:r>
    </w:p>
    <w:p>
      <w:r>
        <w:rPr>
          <w:b/>
        </w:rPr>
        <w:t>E. 9.2</w:t>
      </w:r>
    </w:p>
    <w:p>
      <w:r>
        <w:t>Die obsiegenden Beschwerdeführenden haben Anspruch auf eine Parteientschädigung für die ihnen im Beschwerdeverfahren erwachsenen verhältnismässig hohen und notwendigen Kosten zulasten der Vorinstanz (vgl. Art. 63 Abs. 1 VwVG, Art. 7 des Reglements vom 21. Februar 2008 über die Kosten und Entschädigungen vor dem Bundesverwaltungsgericht [VGKE, SR 173.320.2]). Da dem Gericht keine Kostennote der Rechtsvertreterin vorliegt, ist die Entschädigung auf Grund der Akten festzulegen (vgl. Art. 14 Abs. 2 VGKE). Daher wird die Parteientschädigung unter Berücksichtigung der rechtlichen Komplexität und des Umfangs des Verfahrens auf Fr. 1'800.- (inkl. MWST und Auslagen) festgelegt.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