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C-6190/2007 vom 8. Juli 2009</w:t>
      </w:r>
    </w:p>
    <w:p>
      <w:r>
        <w:t>Bundesverwaltungsgericht, 2009-07-08, DE</w:t>
      </w:r>
    </w:p>
    <w:p>
      <w:r>
        <w:rPr>
          <w:b/>
        </w:rPr>
        <w:t xml:space="preserve">Quelle: </w:t>
      </w:r>
      <w:r>
        <w:t>https://mcp.opencaselaw.ch/entscheid/bvger_C-6190_2007</w:t>
      </w:r>
    </w:p>
    <w:p>
      <w:r>
        <w:t>FR: TAF C-6190/2007 du 8 juillet 2009</w:t>
      </w:r>
    </w:p>
    <w:p>
      <w:r>
        <w:t>IT: TAF C-6190/2007 del 8 luglio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in Art. 5 Abs. 1 Bst. c SGK erwähnte Einreiseerfordernis der ausreichenden finanziellen Mittel wird in Absatz 3 präzisiert. Danach kann die Feststellung ausreichender finanzieller Mittel anhand von Bargeld, Reiseschecks und Kreditkarten erfolgen; ebenso können - sofern in den nationalen Rechtsvorschriften vorgesehen - Verpflichtungserklärungen und Bürgschaften von Gastgebern Nachweise für das Vorhandensein ausreichender Mittel zur Bestreitung des Lebensunterhalts darstellen. Das schweizerische Ausländerrecht sieht diese und andere Sicherheiten in Art. 2 Abs. 2 sowie in Art. 7-11 VEV vor. Unter Verweis auf die Rechtsgrundlage von Art. 5 SGK führt die GKI aus, welche Belege sich zum Nachweis der Mittel zur Bestreitung des Lebensunterhalts eignen (vgl. ABl. C 326, S. 11).</w:t>
      </w:r>
    </w:p>
    <w:p>
      <w:r>
        <w:rPr>
          <w:b/>
        </w:rPr>
        <w:t>E. 7</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 von Nigeria unterliegen die Gesuchsteller damit der Visumspflicht.</w:t>
      </w:r>
    </w:p>
    <w:p>
      <w:r>
        <w:rPr>
          <w:b/>
        </w:rPr>
        <w:t>E. 8.1</w:t>
      </w:r>
    </w:p>
    <w:p>
      <w:r>
        <w:t>Vorliegend ist zu prüfen, ob die Vorinstanz unter Berücksichtigung der Verhältnisse im Herkunftsland und der persönlichen Lebensumstände der Eingeladenen einen ermessensfehlerfreien Entscheid getroffen hat. Dabei rechtfertigt es sich, Einreisegesuchen von Personen aus Staaten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8.2</w:t>
      </w:r>
    </w:p>
    <w:p>
      <w:r>
        <w:t>Die wirtschaftliche Lage Nigerias hat sich in den letzten Jahren deutlich verbessert. Relativiert wird dieser Erfolg aber durch die seit Anfang 2006 im ölreichen Niger-Delta entfachten und mit erheblicher Gewalt und Kriminalität einhergehenden Unruhen, welche zu eingeschränkten Öl- und Gasförderquoten geführt haben und dadurch auch das weitgehend vom Rohölexport abhängige Wirtschaftswachstum bremsen. Die Unruhen sind ebenfalls mit der Grund für eine Verschlechterung der ohnehin unzureichenden inländischen Energieversorgung. Als Haupthinderungsgrund für die wirtschaftliche Entwicklung gilt allerdings die mangelhafte Infrastruktur des Landes, die breiten Bevölkerungsschichten schwierige ökonomische und soziale Lebensbedingungen beschert und schätzungsweise etwa 35% der Bevölkerung in extremer Armut (weniger als 1 USD/Tag) leben lässt. Präsident Yar' Adua, seit Mai 2007 amtierendes Staatsoberhaupt und gleichzeitiger Regierungschef, ist zwar darum bemüht, die Reformpolitik seines Vorgängers Obasanjo fortzusetzen und auf die genannten Herausforderungen einzugehen; die Implementierung von konkreten Massnahmen hat allerdings erst gerade begonnen (Quelle: http://www.auswaertiges-amt.de, Stand Februar 2009, besucht im Juni 2009; vgl. auch Urteil des Bundesverwaltungsgerichts C-7758/2007 vom 28. April 2009 E. 7). Angesichts des mit solchen Massnahmen verbundenen Kostenaufwands kann die nigerianische Bevölkerung mittelfristig nicht mit günstigeren Lebensbedingungen rechnen, wohl auch deshalb nicht, weil die weltweite Finanz- und Wirtschaftskrise bis auf Weiteres erhebliche Auswirkungen auf die von den Öleinnahmen abhängigen Staatsausgaben haben dürfte. Vor diesem Hintergrund besteht ein vielfacher Wunsch zur Auswanderung, der sich vor allem bei denjenigen manifestiert, die bereits über ein minimales soziales Beziehungsnetz im Ausland verfügen. Im Falle der Schweiz führt dies angesichts der restriktiven fremdenpolizeilichen Zulassungsregelung nicht selten zur Umgehung ausländerrechtlicher Bestimmungen. Dabei geht es nicht etwa allein um die Einreichung von Asylgesuchen nach erfolgter Einreise, sondern es wird oftmals versucht, den Aufenthalt zu verlängern oder - beispielsweise durch Ausbildung oder Heirat - auf eine andere migrationsrechtliche Grundlage zu stellen. Hinsichtlich der Rüge der Pauschalisierung ist den Beschwerdeführern zwar insoweit zuzustimmen, als es zu schematisch und nicht haltbar wäre, generell und ohne spezifische Anhaltspunkte ausschliesslich aufgrund der allgemeinen Lage in der Herkunftsregion auf eine nicht hinreichend gesicherte Wiederausreise zu schliessen. Es gilt somit, über die Situation im Herkunftsland hinaus, ebenfalls die weiteren Umstände des Einzelfalles zu würdigen. Namentlich können berufliche, gesellschaftliche oder familiäre Verpflichtungen die Prognose einer anstandslosen Wiederausreise begünstigen.</w:t>
      </w:r>
    </w:p>
    <w:p>
      <w:r>
        <w:rPr>
          <w:b/>
        </w:rPr>
        <w:t>E. 9.1</w:t>
      </w:r>
    </w:p>
    <w:p>
      <w:r>
        <w:t>Bei der Eingeladenen handelt es sich um eine bald 32-jährige, im Zeitpunkt der Gesuchseinreichung noch unverheiratete Frau. Gemäss Angaben der Beschwerdeführer sollen neben ihren fünf Geschwistern und den Eltern auch ihr Lebenspartner, den sie am 26. Dezember 2007 im Heimatland heiraten werde, sowie die gemeinsame Tochter (geb. 2006) in Nigeria leben, was für eine intakte soziale Struktur und einen engen familiären Bezug zum Heimatland spricht. Insbesondere aus dem Umstand, dass die Gesuchstellerin für die Dauer des beabsichtigten (vierwöchigen) Besuchsaufenthaltes in der Schweiz Lebenspartner und Tochter in der Heimat zurücklassen würde, lässt auf persönliche Verpflichtungen und daraus auf eine gewisse Verwurzelung schliessen, was die Gefahr einer Emigration im Vergleich zu vielen anderen ihrer Landsleute relativiert.</w:t>
      </w:r>
    </w:p>
    <w:p>
      <w:r>
        <w:rPr>
          <w:b/>
        </w:rPr>
        <w:t>E. 9.2</w:t>
      </w:r>
    </w:p>
    <w:p>
      <w:r>
        <w:t>Die Beschwerdeführer machen des Weiteren berufliche Bindungen geltend. So sei die Eingeladene im Unternehmen ihres Vaters (Autohandel) als Managerin angestellt und erziele ein monatliches Einkommen von umgerechnet rund Fr. 680.-, was einem Vielfachen des Durchschnittseinkommens in Nigeria entspreche. Weiter verfüge sie über ein Vermögen von rund Fr. 26'000.- (Stand: Ende Dezember 2007). All diese Angaben sind durch entsprechende Arbeitsbestätigungen bzw. Bankauszüge belegt, welche im Verlaufe des Beschwerdeverfahrens eingereicht worden sind. Nach Ansicht der Beschwerdeführer scheine die wirtschaftliche Zukunft gesichert, habe die Eingeladene doch als älteste der in Nigeria verbliebenen Nachkommen die Möglichkeit, nach dem Ausscheiden ihres Vaters die Leitung des Familienunternehmens zu übernehmen. Die Gesuchstellerin verfügt damit zusätzlich über eine massgebliche berufliche Verankerung in ihrem Heimatland.</w:t>
      </w:r>
    </w:p>
    <w:p>
      <w:r>
        <w:rPr>
          <w:b/>
        </w:rPr>
        <w:t>E. 9.3</w:t>
      </w:r>
    </w:p>
    <w:p>
      <w:r>
        <w:t>Schliesslich haben die Beschwerdeführer als Gastgeber eine Garantieerklärung gegenüber der kantonalen Migrationsbehörde abgegeben, mittels der sie sich finanziell für die Lebensunterhaltskosten der Eingeladenen während des geplanten Besuchsaufenthalts in der Schweiz verpflichten (vgl. Einkommensnachweise und Betreibungsregisterauszüge). Insgesamt betrachtet verfügt somit die Gesuchstellerin durchaus über eine massgebliche familiäre wie auch berufliche Verankerung in Nigeria, wofür auch die eher massvolle Dauer des geplanten Besuchsaufenthalts von rund einem Monat spricht. Die Vorinstanz hat es jedoch sowohl vor Erlass ihrer Verfügung wie auch in ihrer Vernehmlassung unterlassen, den dargelegten Sachverhalt eingehend zu prüfen.</w:t>
      </w:r>
    </w:p>
    <w:p>
      <w:r>
        <w:rPr>
          <w:b/>
        </w:rPr>
        <w:t>E. 10</w:t>
      </w:r>
    </w:p>
    <w:p>
      <w:r>
        <w:t>Auch wenn ein gewisses Risiko für ein missbräuchliches Verhalten nicht gänzlich ausgeschlossen werden kann, ergibt sich zusammenfassend, dass die persönlichen Verhältnisse der Gesuchstellerin hinreichend Gewähr für eine fristgerechte Wiederausreise bieten. An diesem Ergebnis vermag der Verweis des BFM auf die Auslandvertretung, die das Einreisebegehren ebenfalls abgelehnt hat, nichts zu ändern. So ist denn auch nicht ersichtlich, ob die Schweizerische Botschaft in Abuja bei ihrem formlosen Entscheid sämtliche Beurteilungsgrundlagen berücksichtigte. Als ebenso unbehelflich erweist sich der Hinweis der Vorinstanz, wonach bereits im Jahre 2004 ein ähnlich lautendes Einreisebegehren der Gesuchstellerin abgewiesen worden sei. Zum einen war die Eingeladene zu jener Zeit noch Studentin und daher noch nicht in der Arbeitswelt integriert; zum andern hatte sie damals - soweit aus den Akten ersichtlich - noch keine familiären Verpflichtungen wahrzunehmen.</w:t>
      </w:r>
    </w:p>
    <w:p>
      <w:r>
        <w:rPr>
          <w:b/>
        </w:rPr>
        <w:t>E. 11</w:t>
      </w:r>
    </w:p>
    <w:p>
      <w:r>
        <w:t>Grundlegend anders stellen sich die Sachumstände beim mittlerweile 15-jährigen Gesuchsteller dar, der eine christlich-katholische Priesterschule besucht, wo er hauptsächlich wohnt. Irgendwelche besonderen Verantwortlichkeiten des Eingeladenen gegenüber Eltern oder Geschwistern im Heimatland werden von den Beschwerdeführern nicht geltend gemacht. Als Schüler geht er zwangsläufig (noch) keiner Erwerbstätigkeit nach, weshalb - im Gegensatz zu seiner Schwester - nicht von einer beruflichen Verankerung in Nigeria ausgegangen werden kann. Vor dem Hintergrund der aufgezeigten Verhältnisse vor Ort versteht sich von selbst, dass allein die Tatsache einer laufenden oder gar erst beabsichtigten Berufsausbildung nicht schon den Schluss auf intakte Zukunftsperspektiven im Heimatland und damit auf ein nicht vorhandenes Emigrationsrisiko zulässt. Vor diesem Hintergrund müssen die Vorbringen auf Beschwerdeebene, wonach auch bezüglich des Eingeladenen genügend Garantien für eine fristgerechte Wiederausreise vorhanden seien, als nicht ausschlaggebend bezeichnet werden. Die Vorinstanz hat somit dem Gesuchsteller die Einreise zu Recht verweigert.</w:t>
      </w:r>
    </w:p>
    <w:p>
      <w:r>
        <w:rPr>
          <w:b/>
        </w:rPr>
        <w:t>E. 12</w:t>
      </w:r>
    </w:p>
    <w:p>
      <w:r>
        <w:t>Aufgrund der vorgängigen Erwägungen ist festzustellen, dass die angefochtene Verfügung - soweit die Gesuchstellerin betreffend - den rechtserheblichen Sachverhalt unrichtig resp. unvollständig festhält und in fehlerhafter Ausübung des Ermessens ergangen ist (Art. 49 Bst. a und b VwVG). Im Sinne des Eventualantrags ist daher die Beschwerde bezüglich der Eingeladenen gutzuheissen, die angefochtene Verfügung aufzuheben und die Sache zur neuerlichen Beurteilung an die Vorinstanz zurückzuweisen. Dabei ist von der Vorinstanz abzuklären, ob die in Art. 2 Abs. 1 VEV genannten Einreisevoraussetzungen gemäss Schengener Grenzkodex erfüllt sind oder allenfalls gemäss Art. 2 Abs. 4 VEV aus humanitären Gründen ein Visum mit räumlich beschränkter Gültigkeit zu erteilen ist. Soweit den Gesuchsteller betreffend ist die angefochtene Verfügung zu bestätigen und die Beschwerde im entsprechenden Umfang abzuweisen.</w:t>
      </w:r>
    </w:p>
    <w:p>
      <w:r>
        <w:rPr>
          <w:b/>
        </w:rPr>
        <w:t>E. 13</w:t>
      </w:r>
    </w:p>
    <w:p>
      <w:r>
        <w:t>Bei diesem Ausgang des Verfahrens sind den Beschwerdeführern ermässigte Verfahrenskosten von Fr. 300.- aufzuerlegen (vgl. Art. 63 Abs. 1 Satz 2 VwVG). Den Beschwerdeführern ist zu Lasten der Vorinstanz eine gekürzte Parteientschädigung von Fr. 800.- (inkl. MwSt.) zuzusprechen (vgl. Art. 64 Abs. 1 VwVG i.V.m. Art. 7 ff.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